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E2AAD" w14:textId="77777777" w:rsidR="00BE3A40" w:rsidRDefault="00000000">
      <w:pPr>
        <w:spacing w:before="1200" w:after="160"/>
        <w:jc w:val="center"/>
      </w:pPr>
      <w:r>
        <w:rPr>
          <w:b/>
          <w:color w:val="003366"/>
          <w:sz w:val="44"/>
        </w:rPr>
        <w:t>Breville Group Limited (ASX:BRG)</w:t>
      </w:r>
    </w:p>
    <w:p w14:paraId="5E481C64" w14:textId="77777777" w:rsidR="00BE3A40" w:rsidRDefault="00000000">
      <w:pPr>
        <w:spacing w:after="80"/>
        <w:jc w:val="center"/>
        <w:rPr>
          <w:i/>
          <w:color w:val="333333"/>
          <w:sz w:val="28"/>
        </w:rPr>
      </w:pPr>
      <w:r>
        <w:rPr>
          <w:i/>
          <w:color w:val="333333"/>
          <w:sz w:val="28"/>
        </w:rPr>
        <w:t>Project 2: Accounting Analysis, Financial Analysis, Forecasting and Valuation</w:t>
      </w:r>
    </w:p>
    <w:p w14:paraId="7D988334" w14:textId="04C279B6" w:rsidR="00D239D2" w:rsidRDefault="00D239D2">
      <w:pPr>
        <w:spacing w:after="80"/>
        <w:jc w:val="center"/>
      </w:pPr>
      <w:r>
        <w:rPr>
          <w:i/>
          <w:color w:val="333333"/>
          <w:sz w:val="28"/>
        </w:rPr>
        <w:t xml:space="preserve">Hank Do - </w:t>
      </w:r>
      <w:r w:rsidRPr="00D239D2">
        <w:rPr>
          <w:i/>
          <w:color w:val="333333"/>
          <w:sz w:val="28"/>
        </w:rPr>
        <w:t>34905103</w:t>
      </w:r>
    </w:p>
    <w:p w14:paraId="1519E79E" w14:textId="1DD755D8" w:rsidR="00D239D2" w:rsidRPr="00D239D2" w:rsidRDefault="00000000" w:rsidP="00D239D2">
      <w:pPr>
        <w:spacing w:after="800"/>
        <w:jc w:val="center"/>
        <w:rPr>
          <w:color w:val="666666"/>
          <w:sz w:val="24"/>
        </w:rPr>
      </w:pPr>
      <w:r>
        <w:rPr>
          <w:color w:val="666666"/>
          <w:sz w:val="24"/>
        </w:rPr>
        <w:t>ACX3150 Financial Analysis and Valuation</w:t>
      </w:r>
    </w:p>
    <w:tbl>
      <w:tblPr>
        <w:tblW w:w="0" w:type="auto"/>
        <w:jc w:val="center"/>
        <w:tblBorders>
          <w:top w:val="single" w:sz="4" w:space="0" w:color="B0B0B0"/>
          <w:left w:val="single" w:sz="4" w:space="0" w:color="B0B0B0"/>
          <w:bottom w:val="single" w:sz="4" w:space="0" w:color="B0B0B0"/>
          <w:right w:val="single" w:sz="4" w:space="0" w:color="B0B0B0"/>
          <w:insideH w:val="single" w:sz="4" w:space="0" w:color="B0B0B0"/>
          <w:insideV w:val="single" w:sz="4" w:space="0" w:color="B0B0B0"/>
        </w:tblBorders>
        <w:tblLook w:val="04A0" w:firstRow="1" w:lastRow="0" w:firstColumn="1" w:lastColumn="0" w:noHBand="0" w:noVBand="1"/>
      </w:tblPr>
      <w:tblGrid>
        <w:gridCol w:w="3118"/>
        <w:gridCol w:w="4535"/>
      </w:tblGrid>
      <w:tr w:rsidR="00BE3A40" w14:paraId="587818D6" w14:textId="77777777">
        <w:trPr>
          <w:jc w:val="center"/>
        </w:trPr>
        <w:tc>
          <w:tcPr>
            <w:tcW w:w="3118" w:type="dxa"/>
            <w:shd w:val="clear" w:color="auto" w:fill="E6EEF7"/>
            <w:tcMar>
              <w:top w:w="60" w:type="dxa"/>
              <w:left w:w="120" w:type="dxa"/>
              <w:bottom w:w="60" w:type="dxa"/>
              <w:right w:w="120" w:type="dxa"/>
            </w:tcMar>
            <w:vAlign w:val="center"/>
          </w:tcPr>
          <w:p w14:paraId="4079D80C" w14:textId="77777777" w:rsidR="00BE3A40" w:rsidRDefault="00000000">
            <w:pPr>
              <w:spacing w:after="0"/>
            </w:pPr>
            <w:r>
              <w:rPr>
                <w:b/>
                <w:sz w:val="20"/>
              </w:rPr>
              <w:t>Company</w:t>
            </w:r>
          </w:p>
        </w:tc>
        <w:tc>
          <w:tcPr>
            <w:tcW w:w="4535" w:type="dxa"/>
            <w:tcMar>
              <w:top w:w="60" w:type="dxa"/>
              <w:left w:w="120" w:type="dxa"/>
              <w:bottom w:w="60" w:type="dxa"/>
              <w:right w:w="120" w:type="dxa"/>
            </w:tcMar>
            <w:vAlign w:val="center"/>
          </w:tcPr>
          <w:p w14:paraId="1D622026" w14:textId="77777777" w:rsidR="00BE3A40" w:rsidRDefault="00000000">
            <w:pPr>
              <w:spacing w:after="0"/>
            </w:pPr>
            <w:r>
              <w:rPr>
                <w:sz w:val="20"/>
              </w:rPr>
              <w:t>Breville Group Limited (ASX:BRG)</w:t>
            </w:r>
          </w:p>
        </w:tc>
      </w:tr>
      <w:tr w:rsidR="00BE3A40" w14:paraId="6BCB5AED" w14:textId="77777777">
        <w:trPr>
          <w:jc w:val="center"/>
        </w:trPr>
        <w:tc>
          <w:tcPr>
            <w:tcW w:w="3118" w:type="dxa"/>
            <w:shd w:val="clear" w:color="auto" w:fill="E6EEF7"/>
            <w:tcMar>
              <w:top w:w="60" w:type="dxa"/>
              <w:left w:w="120" w:type="dxa"/>
              <w:bottom w:w="60" w:type="dxa"/>
              <w:right w:w="120" w:type="dxa"/>
            </w:tcMar>
            <w:vAlign w:val="center"/>
          </w:tcPr>
          <w:p w14:paraId="125DAB14" w14:textId="77777777" w:rsidR="00BE3A40" w:rsidRDefault="00000000">
            <w:pPr>
              <w:spacing w:after="0"/>
            </w:pPr>
            <w:r>
              <w:rPr>
                <w:b/>
                <w:sz w:val="20"/>
              </w:rPr>
              <w:t>Sector / Industry</w:t>
            </w:r>
          </w:p>
        </w:tc>
        <w:tc>
          <w:tcPr>
            <w:tcW w:w="4535" w:type="dxa"/>
            <w:tcMar>
              <w:top w:w="60" w:type="dxa"/>
              <w:left w:w="120" w:type="dxa"/>
              <w:bottom w:w="60" w:type="dxa"/>
              <w:right w:w="120" w:type="dxa"/>
            </w:tcMar>
            <w:vAlign w:val="center"/>
          </w:tcPr>
          <w:p w14:paraId="2E78CFDF" w14:textId="77777777" w:rsidR="00BE3A40" w:rsidRDefault="00000000">
            <w:pPr>
              <w:spacing w:after="0"/>
            </w:pPr>
            <w:r>
              <w:rPr>
                <w:sz w:val="20"/>
              </w:rPr>
              <w:t>Consumer Discretionary / Premium small kitchen appliances</w:t>
            </w:r>
          </w:p>
        </w:tc>
      </w:tr>
      <w:tr w:rsidR="00BE3A40" w14:paraId="6E65F4AA" w14:textId="77777777">
        <w:trPr>
          <w:jc w:val="center"/>
        </w:trPr>
        <w:tc>
          <w:tcPr>
            <w:tcW w:w="3118" w:type="dxa"/>
            <w:shd w:val="clear" w:color="auto" w:fill="E6EEF7"/>
            <w:tcMar>
              <w:top w:w="60" w:type="dxa"/>
              <w:left w:w="120" w:type="dxa"/>
              <w:bottom w:w="60" w:type="dxa"/>
              <w:right w:w="120" w:type="dxa"/>
            </w:tcMar>
            <w:vAlign w:val="center"/>
          </w:tcPr>
          <w:p w14:paraId="736C29C9" w14:textId="77777777" w:rsidR="00BE3A40" w:rsidRDefault="00000000">
            <w:pPr>
              <w:spacing w:after="0"/>
            </w:pPr>
            <w:r>
              <w:rPr>
                <w:b/>
                <w:sz w:val="20"/>
              </w:rPr>
              <w:t>Periods covered</w:t>
            </w:r>
          </w:p>
        </w:tc>
        <w:tc>
          <w:tcPr>
            <w:tcW w:w="4535" w:type="dxa"/>
            <w:tcMar>
              <w:top w:w="60" w:type="dxa"/>
              <w:left w:w="120" w:type="dxa"/>
              <w:bottom w:w="60" w:type="dxa"/>
              <w:right w:w="120" w:type="dxa"/>
            </w:tcMar>
            <w:vAlign w:val="center"/>
          </w:tcPr>
          <w:p w14:paraId="178BEF3F" w14:textId="77777777" w:rsidR="00BE3A40" w:rsidRDefault="00000000">
            <w:pPr>
              <w:spacing w:after="0"/>
            </w:pPr>
            <w:r>
              <w:rPr>
                <w:sz w:val="20"/>
              </w:rPr>
              <w:t>Historical FY21-FY25; Forecast FY26-FY37 + terminal</w:t>
            </w:r>
          </w:p>
        </w:tc>
      </w:tr>
      <w:tr w:rsidR="00BE3A40" w14:paraId="6E5D30DB" w14:textId="77777777">
        <w:trPr>
          <w:jc w:val="center"/>
        </w:trPr>
        <w:tc>
          <w:tcPr>
            <w:tcW w:w="3118" w:type="dxa"/>
            <w:shd w:val="clear" w:color="auto" w:fill="E6EEF7"/>
            <w:tcMar>
              <w:top w:w="60" w:type="dxa"/>
              <w:left w:w="120" w:type="dxa"/>
              <w:bottom w:w="60" w:type="dxa"/>
              <w:right w:w="120" w:type="dxa"/>
            </w:tcMar>
            <w:vAlign w:val="center"/>
          </w:tcPr>
          <w:p w14:paraId="5868011D" w14:textId="77777777" w:rsidR="00BE3A40" w:rsidRDefault="00000000">
            <w:pPr>
              <w:spacing w:after="0"/>
            </w:pPr>
            <w:r>
              <w:rPr>
                <w:b/>
                <w:sz w:val="20"/>
              </w:rPr>
              <w:t>Recommendation (most-likely)</w:t>
            </w:r>
          </w:p>
        </w:tc>
        <w:tc>
          <w:tcPr>
            <w:tcW w:w="4535" w:type="dxa"/>
            <w:tcMar>
              <w:top w:w="60" w:type="dxa"/>
              <w:left w:w="120" w:type="dxa"/>
              <w:bottom w:w="60" w:type="dxa"/>
              <w:right w:w="120" w:type="dxa"/>
            </w:tcMar>
            <w:vAlign w:val="center"/>
          </w:tcPr>
          <w:p w14:paraId="28FF89FB" w14:textId="77777777" w:rsidR="00BE3A40" w:rsidRDefault="00000000">
            <w:pPr>
              <w:spacing w:after="0"/>
            </w:pPr>
            <w:r>
              <w:rPr>
                <w:sz w:val="20"/>
              </w:rPr>
              <w:t>HOLD — intrinsic A$28.42 vs market A$29.57</w:t>
            </w:r>
          </w:p>
        </w:tc>
      </w:tr>
    </w:tbl>
    <w:p w14:paraId="7DE3DCE2" w14:textId="77777777" w:rsidR="00D239D2" w:rsidRDefault="00D239D2">
      <w:pPr>
        <w:pStyle w:val="Heading1"/>
      </w:pPr>
    </w:p>
    <w:p w14:paraId="1959E1C1" w14:textId="77777777" w:rsidR="00D239D2" w:rsidRDefault="00D239D2" w:rsidP="00D239D2"/>
    <w:p w14:paraId="4B483EF9" w14:textId="77777777" w:rsidR="00D239D2" w:rsidRDefault="00D239D2" w:rsidP="00D239D2"/>
    <w:p w14:paraId="20C47407" w14:textId="77777777" w:rsidR="00D239D2" w:rsidRDefault="00D239D2" w:rsidP="00D239D2"/>
    <w:p w14:paraId="4AC855F8" w14:textId="77777777" w:rsidR="00D239D2" w:rsidRDefault="00D239D2" w:rsidP="00D239D2"/>
    <w:p w14:paraId="72693007" w14:textId="77777777" w:rsidR="00D239D2" w:rsidRDefault="00D239D2" w:rsidP="00D239D2"/>
    <w:p w14:paraId="4FDF2D69" w14:textId="77777777" w:rsidR="00D239D2" w:rsidRDefault="00D239D2" w:rsidP="00D239D2"/>
    <w:p w14:paraId="3F097806" w14:textId="77777777" w:rsidR="00D239D2" w:rsidRDefault="00D239D2" w:rsidP="00D239D2"/>
    <w:p w14:paraId="7B68C272" w14:textId="77777777" w:rsidR="00D239D2" w:rsidRDefault="00D239D2" w:rsidP="00D239D2"/>
    <w:p w14:paraId="650F6490" w14:textId="77777777" w:rsidR="00D239D2" w:rsidRDefault="00D239D2" w:rsidP="00D239D2"/>
    <w:p w14:paraId="66D78C8F" w14:textId="77777777" w:rsidR="00D239D2" w:rsidRDefault="00D239D2" w:rsidP="00D239D2"/>
    <w:p w14:paraId="6681E2DC" w14:textId="77777777" w:rsidR="00D239D2" w:rsidRDefault="00D239D2" w:rsidP="00D239D2"/>
    <w:p w14:paraId="464A6245" w14:textId="77777777" w:rsidR="00D239D2" w:rsidRDefault="00D239D2" w:rsidP="00D239D2"/>
    <w:p w14:paraId="1C54B9C4" w14:textId="77777777" w:rsidR="00D239D2" w:rsidRDefault="00D239D2" w:rsidP="00D239D2"/>
    <w:p w14:paraId="4C2395EB" w14:textId="77777777" w:rsidR="00D239D2" w:rsidRDefault="00D239D2" w:rsidP="00D239D2"/>
    <w:p w14:paraId="57C27F1D" w14:textId="77777777" w:rsidR="00D239D2" w:rsidRPr="00D239D2" w:rsidRDefault="00D239D2" w:rsidP="00D239D2"/>
    <w:p w14:paraId="339C4DB4" w14:textId="62CA1711" w:rsidR="00BE3A40" w:rsidRDefault="00000000">
      <w:pPr>
        <w:pStyle w:val="Heading1"/>
      </w:pPr>
      <w:r>
        <w:t>Section D — Accounting Analysis</w:t>
      </w:r>
    </w:p>
    <w:p w14:paraId="0E5DC531" w14:textId="77777777" w:rsidR="00BE3A40" w:rsidRDefault="00000000">
      <w:pPr>
        <w:pStyle w:val="Heading2"/>
      </w:pPr>
      <w:r>
        <w:t>D.1  Principal accounting policies and estimates</w:t>
      </w:r>
    </w:p>
    <w:p w14:paraId="3E629143" w14:textId="77777777" w:rsidR="00BE3A40" w:rsidRDefault="00000000">
      <w:pPr>
        <w:jc w:val="both"/>
      </w:pPr>
      <w:r>
        <w:t>Breville Group is a designer-marketer in the premium small kitchen appliance industry, using an asset-light model that outsources manufacturing to contract producers. Following Palepu et al. and Lecture 5, three accounting policies have a disproportionate effect on reported profitability and warrant detailed analysis: capitalised development costs (intangibles), inventory valuation, and warranty provisions. Goodwill is also examined given its rising share of total assets following recent acquisitions.</w:t>
      </w:r>
    </w:p>
    <w:p w14:paraId="666B9479" w14:textId="77777777" w:rsidR="00BE3A40" w:rsidRDefault="00000000">
      <w:pPr>
        <w:jc w:val="both"/>
      </w:pPr>
      <w:r>
        <w:rPr>
          <w:b/>
        </w:rPr>
        <w:t xml:space="preserve">Capitalised development costs. </w:t>
      </w:r>
      <w:r>
        <w:t>Breville capitalises eligible product development expenditure as intangible assets, amortised over the expected commercial life of the product (typically three to seven years). This policy has flexibility in the recognition threshold (which projects meet the AASB 138 capitalisation criteria) and in useful-life estimation. Both choices increase reported NPAT in the year of investment compared with full expensing.</w:t>
      </w:r>
    </w:p>
    <w:p w14:paraId="482BDDB1" w14:textId="77777777" w:rsidR="00BE3A40" w:rsidRDefault="00000000">
      <w:pPr>
        <w:jc w:val="both"/>
      </w:pPr>
      <w:r>
        <w:rPr>
          <w:b/>
        </w:rPr>
        <w:t xml:space="preserve">Inventory valuation. </w:t>
      </w:r>
      <w:r>
        <w:t>Inventory is recorded at the lower of cost and net realisable value (NRV), with cost determined on a first-in-first-out basis. For a premium-brand manufacturer, the key judgement is the timing and size of NRV write-downs on slow-moving or obsolete SKUs. A second judgement relates to landed cost: inventory acquired in advance of US tariff increases (the FY25 pull-forward) is recorded at lower historic cost, but its NRV is affected by tariff-driven price increases passed to customers.</w:t>
      </w:r>
    </w:p>
    <w:p w14:paraId="55E4B32E" w14:textId="77777777" w:rsidR="00BE3A40" w:rsidRDefault="00000000">
      <w:pPr>
        <w:jc w:val="both"/>
      </w:pPr>
      <w:r>
        <w:rPr>
          <w:b/>
        </w:rPr>
        <w:t xml:space="preserve">Warranty provisions. </w:t>
      </w:r>
      <w:r>
        <w:t>Breville offers multi-year manufacturer warranties on its premium appliances. The provision is estimated using historical failure rates and remediation costs. This is a standard accrual for manufacturers (Palepu et al. table on industry-key policies), but is open to manipulation through changes in the failure-rate assumption.</w:t>
      </w:r>
    </w:p>
    <w:p w14:paraId="41BACA6C" w14:textId="77777777" w:rsidR="00BE3A40" w:rsidRDefault="00000000">
      <w:pPr>
        <w:jc w:val="both"/>
      </w:pPr>
      <w:r>
        <w:rPr>
          <w:b/>
        </w:rPr>
        <w:t xml:space="preserve">Goodwill. </w:t>
      </w:r>
      <w:r>
        <w:t>Goodwill on past acquisitions (Baratza, ChefSteps, Lelit) is not amortised but tested annually for impairment under AASB 136. The impairment test relies on management discounted cash flow forecasts at the cash-generating-unit level, leaving substantial flexibility around the assumed growth and discount rates.</w:t>
      </w:r>
    </w:p>
    <w:p w14:paraId="35F45B7D" w14:textId="77777777" w:rsidR="00BE3A40" w:rsidRDefault="00000000">
      <w:pPr>
        <w:pStyle w:val="Heading2"/>
      </w:pPr>
      <w:r>
        <w:t>D.2  Accounting analysis implementation</w:t>
      </w:r>
    </w:p>
    <w:p w14:paraId="7A66A479" w14:textId="77777777" w:rsidR="00BE3A40" w:rsidRDefault="00000000">
      <w:pPr>
        <w:jc w:val="both"/>
      </w:pPr>
      <w:r>
        <w:rPr>
          <w:b/>
        </w:rPr>
        <w:t xml:space="preserve">Issue 1 — Sustained growth in capitalised intangibles (potential red flag). </w:t>
      </w:r>
      <w:r>
        <w:t xml:space="preserve">Intangible assets excluding goodwill have grown from A$55m in FY21 to A$103m in FY25, an 87% increase (Figure D1). As a percentage of revenue, intangibles ex-goodwill have risen from 4.6% to 6.1% over the same period. This is consistent with management commentary in the FY25 Annual Report and the 1H FY26 release noting "a steady increase in capitalised development costs and software, with related amortisation step up". The pattern is in line with the company's differentiation strategy and rising investment (now 14.2% of revenue), so the trend is broadly defensible. However, capitalising rather than expensing development costs flatters current EBIT </w:t>
      </w:r>
      <w:r>
        <w:lastRenderedPageBreak/>
        <w:t>relative to peers that expense in full, and the rising amortisation step-up will mechanically slow future EBIT growth even if R&amp;D spending levels off. No adjustment is recommended at this stage, but the trend warrants monitoring.</w:t>
      </w:r>
    </w:p>
    <w:p w14:paraId="4EC09C89" w14:textId="77777777" w:rsidR="00BE3A40" w:rsidRDefault="00000000">
      <w:pPr>
        <w:spacing w:after="80"/>
        <w:jc w:val="center"/>
      </w:pPr>
      <w:r>
        <w:rPr>
          <w:noProof/>
        </w:rPr>
        <w:drawing>
          <wp:inline distT="0" distB="0" distL="0" distR="0" wp14:anchorId="3240A589" wp14:editId="751B5108">
            <wp:extent cx="5580000" cy="24957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_d1_intangibles.png"/>
                    <pic:cNvPicPr/>
                  </pic:nvPicPr>
                  <pic:blipFill>
                    <a:blip r:embed="rId6"/>
                    <a:stretch>
                      <a:fillRect/>
                    </a:stretch>
                  </pic:blipFill>
                  <pic:spPr>
                    <a:xfrm>
                      <a:off x="0" y="0"/>
                      <a:ext cx="5580000" cy="2495782"/>
                    </a:xfrm>
                    <a:prstGeom prst="rect">
                      <a:avLst/>
                    </a:prstGeom>
                  </pic:spPr>
                </pic:pic>
              </a:graphicData>
            </a:graphic>
          </wp:inline>
        </w:drawing>
      </w:r>
    </w:p>
    <w:p w14:paraId="4E4200DF" w14:textId="77777777" w:rsidR="00BE3A40" w:rsidRDefault="00000000">
      <w:pPr>
        <w:jc w:val="both"/>
      </w:pPr>
      <w:r>
        <w:rPr>
          <w:b/>
        </w:rPr>
        <w:t xml:space="preserve">Issue 2 — Inventory cycles: post-COVID build and tariff pull-forward (red flag). </w:t>
      </w:r>
      <w:r>
        <w:t>Inventory shows two distinct accounting risk episodes (Figure D2). In FY22, inventory more than doubled from A$217m to A$446m as Breville built stock during the post-COVID supply-chain crisis. This was subsequently worked down through FY23-FY24 with no material write-down disclosed, suggesting the inventory was sold at full price. In FY25, inventory rose again from A$333m to A$426m (+28%), this time as a deliberate pull-forward of US-bound product to lock in pre-tariff landed cost. Inventory days (on a COGS basis) jumped from 113 days in FY24 to 144 days in FY25. While this is consistent with management's tariff strategy and supports the FY25 gross margin of 36.6%, it creates risk: if tariff rates moderate or if the products are slow-moving, NRV write-downs would be required. No adjustment is recommended given disclosure quality, but the timing of any future NRV review should be watched.</w:t>
      </w:r>
    </w:p>
    <w:p w14:paraId="55284154" w14:textId="77777777" w:rsidR="00BE3A40" w:rsidRDefault="00000000">
      <w:pPr>
        <w:spacing w:after="80"/>
        <w:jc w:val="center"/>
      </w:pPr>
      <w:r>
        <w:rPr>
          <w:noProof/>
        </w:rPr>
        <w:drawing>
          <wp:inline distT="0" distB="0" distL="0" distR="0" wp14:anchorId="34009F10" wp14:editId="16E2E5BB">
            <wp:extent cx="5580000" cy="2493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_d2_inventory.png"/>
                    <pic:cNvPicPr/>
                  </pic:nvPicPr>
                  <pic:blipFill>
                    <a:blip r:embed="rId7"/>
                    <a:stretch>
                      <a:fillRect/>
                    </a:stretch>
                  </pic:blipFill>
                  <pic:spPr>
                    <a:xfrm>
                      <a:off x="0" y="0"/>
                      <a:ext cx="5580000" cy="2493515"/>
                    </a:xfrm>
                    <a:prstGeom prst="rect">
                      <a:avLst/>
                    </a:prstGeom>
                  </pic:spPr>
                </pic:pic>
              </a:graphicData>
            </a:graphic>
          </wp:inline>
        </w:drawing>
      </w:r>
    </w:p>
    <w:p w14:paraId="045F16F3" w14:textId="77777777" w:rsidR="00BE3A40" w:rsidRDefault="00000000">
      <w:pPr>
        <w:jc w:val="both"/>
      </w:pPr>
      <w:r>
        <w:rPr>
          <w:b/>
        </w:rPr>
        <w:lastRenderedPageBreak/>
        <w:t xml:space="preserve">Issue 3 — Goodwill concentration and impairment risk. </w:t>
      </w:r>
      <w:r>
        <w:t>Goodwill has grown from A$175m (FY21) to A$348m (FY25), now representing 23.5% of total assets (Figure D3). The step-up reflects the FY23 acquisitions of Lelit and related expansion. Under AASB 136, this goodwill must be tested annually for impairment, and the test is sensitive to assumed growth in the underlying cash-generating units. Given the US tariff disruption to the Americas segment (54.8% of Global Product revenue), any future downward revision to N. American growth assumptions could materially reduce recoverable amount. No impairment has been recognised to date and management discloses sensitivity disclosures in the financial statements; nonetheless, this is the most likely source of a future accounting adjustment.</w:t>
      </w:r>
    </w:p>
    <w:p w14:paraId="4F001D2D" w14:textId="77777777" w:rsidR="00BE3A40" w:rsidRDefault="00000000">
      <w:pPr>
        <w:spacing w:after="80"/>
        <w:jc w:val="center"/>
      </w:pPr>
      <w:r>
        <w:rPr>
          <w:noProof/>
        </w:rPr>
        <w:drawing>
          <wp:inline distT="0" distB="0" distL="0" distR="0" wp14:anchorId="19940443" wp14:editId="5E744333">
            <wp:extent cx="5220000" cy="23518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_d3_goodwill.png"/>
                    <pic:cNvPicPr/>
                  </pic:nvPicPr>
                  <pic:blipFill>
                    <a:blip r:embed="rId8"/>
                    <a:stretch>
                      <a:fillRect/>
                    </a:stretch>
                  </pic:blipFill>
                  <pic:spPr>
                    <a:xfrm>
                      <a:off x="0" y="0"/>
                      <a:ext cx="5220000" cy="2351812"/>
                    </a:xfrm>
                    <a:prstGeom prst="rect">
                      <a:avLst/>
                    </a:prstGeom>
                  </pic:spPr>
                </pic:pic>
              </a:graphicData>
            </a:graphic>
          </wp:inline>
        </w:drawing>
      </w:r>
    </w:p>
    <w:p w14:paraId="526C2A54" w14:textId="77777777" w:rsidR="00BE3A40" w:rsidRDefault="00000000">
      <w:pPr>
        <w:pStyle w:val="Heading2"/>
      </w:pPr>
      <w:r>
        <w:t>D.3  Quality of disclosure</w:t>
      </w:r>
    </w:p>
    <w:p w14:paraId="21998239" w14:textId="5C6CB1DA" w:rsidR="00BE3A40" w:rsidRDefault="00000000" w:rsidP="00D239D2">
      <w:pPr>
        <w:jc w:val="both"/>
      </w:pPr>
      <w:r>
        <w:t>Overall disclosure quality is high. Breville provides segment-level operating data, detailed commentary on FX and tariff impacts, and explicit sensitivity disclosures on goodwill and intangibles. PricewaterhouseCoopers (sign-off partner Aishwarya Chandran per DatAnalysis) issued an unqualified audit opinion. The accruals identified above are each disclosed transparently in the relevant notes. The principal disclosure weakness is the absence of explicit warranty-provision rollforward, which would aid interpretation of repair-cost trends in a higher-tariff product mix.</w:t>
      </w:r>
      <w:r>
        <w:br w:type="page"/>
      </w:r>
    </w:p>
    <w:p w14:paraId="19259A47" w14:textId="77777777" w:rsidR="00BE3A40" w:rsidRDefault="00000000">
      <w:pPr>
        <w:pStyle w:val="Heading1"/>
      </w:pPr>
      <w:r>
        <w:lastRenderedPageBreak/>
        <w:t>Section E — Financial Analysis</w:t>
      </w:r>
    </w:p>
    <w:p w14:paraId="529C59E7" w14:textId="77777777" w:rsidR="00BE3A40" w:rsidRDefault="00000000">
      <w:pPr>
        <w:jc w:val="both"/>
      </w:pPr>
      <w:r>
        <w:t>Breville is benchmarked against two peers in the premium small kitchen appliances industry: De'Longhi (</w:t>
      </w:r>
      <w:proofErr w:type="gramStart"/>
      <w:r>
        <w:t>BIT:DLG</w:t>
      </w:r>
      <w:proofErr w:type="gramEnd"/>
      <w:r>
        <w:t>, Italian coffee and kitchen appliance manufacturer) and SharkNinja (NYSE:SN, US premium-kitchen and floorcare brand). Both compete in overlapping product categories and on comparable scale. Ratios are calculated for the most recently reported fiscal year (BRG FY25 to 30 June 2025; DLG and SN FY24 to 31 December 2024), with revenue figures translated to AUD for ease of comparison. Margin and turnover ratios are computed in each company's home currency, so the translation does not distort the comparisons.</w:t>
      </w:r>
    </w:p>
    <w:p w14:paraId="5331D107" w14:textId="77777777" w:rsidR="00BE3A40" w:rsidRDefault="00000000">
      <w:pPr>
        <w:spacing w:after="80"/>
        <w:jc w:val="center"/>
      </w:pPr>
      <w:r>
        <w:rPr>
          <w:noProof/>
        </w:rPr>
        <w:drawing>
          <wp:inline distT="0" distB="0" distL="0" distR="0" wp14:anchorId="2D42D298" wp14:editId="7795ED9A">
            <wp:extent cx="5580000" cy="275462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_e1_peers.png"/>
                    <pic:cNvPicPr/>
                  </pic:nvPicPr>
                  <pic:blipFill>
                    <a:blip r:embed="rId9"/>
                    <a:stretch>
                      <a:fillRect/>
                    </a:stretch>
                  </pic:blipFill>
                  <pic:spPr>
                    <a:xfrm>
                      <a:off x="0" y="0"/>
                      <a:ext cx="5580000" cy="2754628"/>
                    </a:xfrm>
                    <a:prstGeom prst="rect">
                      <a:avLst/>
                    </a:prstGeom>
                  </pic:spPr>
                </pic:pic>
              </a:graphicData>
            </a:graphic>
          </wp:inline>
        </w:drawing>
      </w:r>
    </w:p>
    <w:p w14:paraId="392CD8C7" w14:textId="77777777" w:rsidR="00BE3A40" w:rsidRDefault="00000000">
      <w:pPr>
        <w:spacing w:after="40"/>
        <w:jc w:val="both"/>
      </w:pPr>
      <w:r>
        <w:rPr>
          <w:b/>
          <w:sz w:val="20"/>
        </w:rPr>
        <w:t>Table E1: Key ratios — Breville Group vs industry peers</w:t>
      </w:r>
    </w:p>
    <w:tbl>
      <w:tblPr>
        <w:tblW w:w="0" w:type="auto"/>
        <w:jc w:val="center"/>
        <w:tblBorders>
          <w:top w:val="single" w:sz="4" w:space="0" w:color="B0B0B0"/>
          <w:left w:val="single" w:sz="4" w:space="0" w:color="B0B0B0"/>
          <w:bottom w:val="single" w:sz="4" w:space="0" w:color="B0B0B0"/>
          <w:right w:val="single" w:sz="4" w:space="0" w:color="B0B0B0"/>
          <w:insideH w:val="single" w:sz="4" w:space="0" w:color="B0B0B0"/>
          <w:insideV w:val="single" w:sz="4" w:space="0" w:color="B0B0B0"/>
        </w:tblBorders>
        <w:tblLayout w:type="fixed"/>
        <w:tblLook w:val="04A0" w:firstRow="1" w:lastRow="0" w:firstColumn="1" w:lastColumn="0" w:noHBand="0" w:noVBand="1"/>
      </w:tblPr>
      <w:tblGrid>
        <w:gridCol w:w="2835"/>
        <w:gridCol w:w="1984"/>
        <w:gridCol w:w="1984"/>
        <w:gridCol w:w="1984"/>
      </w:tblGrid>
      <w:tr w:rsidR="00BE3A40" w14:paraId="22766FFF" w14:textId="77777777">
        <w:trPr>
          <w:jc w:val="center"/>
        </w:trPr>
        <w:tc>
          <w:tcPr>
            <w:tcW w:w="2835" w:type="dxa"/>
            <w:shd w:val="clear" w:color="auto" w:fill="003366"/>
            <w:tcMar>
              <w:top w:w="50" w:type="dxa"/>
              <w:left w:w="80" w:type="dxa"/>
              <w:bottom w:w="50" w:type="dxa"/>
              <w:right w:w="80" w:type="dxa"/>
            </w:tcMar>
            <w:vAlign w:val="center"/>
          </w:tcPr>
          <w:p w14:paraId="08851EF7" w14:textId="77777777" w:rsidR="00BE3A40" w:rsidRDefault="00000000">
            <w:pPr>
              <w:spacing w:after="0"/>
              <w:jc w:val="center"/>
            </w:pPr>
            <w:r>
              <w:t>Ratio</w:t>
            </w:r>
          </w:p>
        </w:tc>
        <w:tc>
          <w:tcPr>
            <w:tcW w:w="1984" w:type="dxa"/>
            <w:shd w:val="clear" w:color="auto" w:fill="003366"/>
            <w:tcMar>
              <w:top w:w="50" w:type="dxa"/>
              <w:left w:w="80" w:type="dxa"/>
              <w:bottom w:w="50" w:type="dxa"/>
              <w:right w:w="80" w:type="dxa"/>
            </w:tcMar>
            <w:vAlign w:val="center"/>
          </w:tcPr>
          <w:p w14:paraId="7601A6F2" w14:textId="77777777" w:rsidR="00BE3A40" w:rsidRDefault="00000000">
            <w:pPr>
              <w:spacing w:after="0"/>
              <w:jc w:val="center"/>
            </w:pPr>
            <w:r>
              <w:t>BRG (FY25)</w:t>
            </w:r>
          </w:p>
        </w:tc>
        <w:tc>
          <w:tcPr>
            <w:tcW w:w="1984" w:type="dxa"/>
            <w:shd w:val="clear" w:color="auto" w:fill="003366"/>
            <w:tcMar>
              <w:top w:w="50" w:type="dxa"/>
              <w:left w:w="80" w:type="dxa"/>
              <w:bottom w:w="50" w:type="dxa"/>
              <w:right w:w="80" w:type="dxa"/>
            </w:tcMar>
            <w:vAlign w:val="center"/>
          </w:tcPr>
          <w:p w14:paraId="386E7B1D" w14:textId="77777777" w:rsidR="00BE3A40" w:rsidRDefault="00000000">
            <w:pPr>
              <w:spacing w:after="0"/>
              <w:jc w:val="center"/>
            </w:pPr>
            <w:r>
              <w:t>De'Longhi (FY24)</w:t>
            </w:r>
          </w:p>
        </w:tc>
        <w:tc>
          <w:tcPr>
            <w:tcW w:w="1984" w:type="dxa"/>
            <w:shd w:val="clear" w:color="auto" w:fill="003366"/>
            <w:tcMar>
              <w:top w:w="50" w:type="dxa"/>
              <w:left w:w="80" w:type="dxa"/>
              <w:bottom w:w="50" w:type="dxa"/>
              <w:right w:w="80" w:type="dxa"/>
            </w:tcMar>
            <w:vAlign w:val="center"/>
          </w:tcPr>
          <w:p w14:paraId="0175E247" w14:textId="77777777" w:rsidR="00BE3A40" w:rsidRDefault="00000000">
            <w:pPr>
              <w:spacing w:after="0"/>
              <w:jc w:val="center"/>
            </w:pPr>
            <w:r>
              <w:t>SharkNinja (FY24)</w:t>
            </w:r>
          </w:p>
        </w:tc>
      </w:tr>
      <w:tr w:rsidR="00BE3A40" w14:paraId="2D909389" w14:textId="77777777">
        <w:trPr>
          <w:jc w:val="center"/>
        </w:trPr>
        <w:tc>
          <w:tcPr>
            <w:tcW w:w="2835" w:type="dxa"/>
            <w:tcMar>
              <w:top w:w="50" w:type="dxa"/>
              <w:left w:w="80" w:type="dxa"/>
              <w:bottom w:w="50" w:type="dxa"/>
              <w:right w:w="80" w:type="dxa"/>
            </w:tcMar>
            <w:vAlign w:val="center"/>
          </w:tcPr>
          <w:p w14:paraId="34B357F0" w14:textId="77777777" w:rsidR="00BE3A40" w:rsidRDefault="00000000">
            <w:pPr>
              <w:spacing w:after="0"/>
            </w:pPr>
            <w:r>
              <w:rPr>
                <w:b/>
                <w:sz w:val="18"/>
              </w:rPr>
              <w:t>Revenue (m)</w:t>
            </w:r>
          </w:p>
        </w:tc>
        <w:tc>
          <w:tcPr>
            <w:tcW w:w="1984" w:type="dxa"/>
            <w:tcMar>
              <w:top w:w="50" w:type="dxa"/>
              <w:left w:w="80" w:type="dxa"/>
              <w:bottom w:w="50" w:type="dxa"/>
              <w:right w:w="80" w:type="dxa"/>
            </w:tcMar>
            <w:vAlign w:val="center"/>
          </w:tcPr>
          <w:p w14:paraId="5F417069" w14:textId="77777777" w:rsidR="00BE3A40" w:rsidRDefault="00000000">
            <w:pPr>
              <w:spacing w:after="0"/>
              <w:jc w:val="center"/>
            </w:pPr>
            <w:r>
              <w:rPr>
                <w:sz w:val="18"/>
              </w:rPr>
              <w:t>1,697</w:t>
            </w:r>
          </w:p>
        </w:tc>
        <w:tc>
          <w:tcPr>
            <w:tcW w:w="1984" w:type="dxa"/>
            <w:tcMar>
              <w:top w:w="50" w:type="dxa"/>
              <w:left w:w="80" w:type="dxa"/>
              <w:bottom w:w="50" w:type="dxa"/>
              <w:right w:w="80" w:type="dxa"/>
            </w:tcMar>
            <w:vAlign w:val="center"/>
          </w:tcPr>
          <w:p w14:paraId="6C8242A6" w14:textId="77777777" w:rsidR="00BE3A40" w:rsidRDefault="00000000">
            <w:pPr>
              <w:spacing w:after="0"/>
              <w:jc w:val="center"/>
            </w:pPr>
            <w:r>
              <w:t>5,758</w:t>
            </w:r>
          </w:p>
        </w:tc>
        <w:tc>
          <w:tcPr>
            <w:tcW w:w="1984" w:type="dxa"/>
            <w:tcMar>
              <w:top w:w="50" w:type="dxa"/>
              <w:left w:w="80" w:type="dxa"/>
              <w:bottom w:w="50" w:type="dxa"/>
              <w:right w:w="80" w:type="dxa"/>
            </w:tcMar>
            <w:vAlign w:val="center"/>
          </w:tcPr>
          <w:p w14:paraId="5C43BC03" w14:textId="77777777" w:rsidR="00BE3A40" w:rsidRDefault="00000000">
            <w:pPr>
              <w:spacing w:after="0"/>
              <w:jc w:val="center"/>
            </w:pPr>
            <w:r>
              <w:t>8,570</w:t>
            </w:r>
          </w:p>
        </w:tc>
      </w:tr>
      <w:tr w:rsidR="00BE3A40" w14:paraId="3F898027" w14:textId="77777777">
        <w:trPr>
          <w:jc w:val="center"/>
        </w:trPr>
        <w:tc>
          <w:tcPr>
            <w:tcW w:w="2835" w:type="dxa"/>
            <w:shd w:val="clear" w:color="auto" w:fill="F4F7FB"/>
            <w:tcMar>
              <w:top w:w="50" w:type="dxa"/>
              <w:left w:w="80" w:type="dxa"/>
              <w:bottom w:w="50" w:type="dxa"/>
              <w:right w:w="80" w:type="dxa"/>
            </w:tcMar>
            <w:vAlign w:val="center"/>
          </w:tcPr>
          <w:p w14:paraId="1E78BD72" w14:textId="77777777" w:rsidR="00BE3A40" w:rsidRDefault="00000000">
            <w:pPr>
              <w:spacing w:after="0"/>
            </w:pPr>
            <w:r>
              <w:rPr>
                <w:b/>
                <w:sz w:val="18"/>
              </w:rPr>
              <w:t>Gross margin (%)</w:t>
            </w:r>
          </w:p>
        </w:tc>
        <w:tc>
          <w:tcPr>
            <w:tcW w:w="1984" w:type="dxa"/>
            <w:shd w:val="clear" w:color="auto" w:fill="F4F7FB"/>
            <w:tcMar>
              <w:top w:w="50" w:type="dxa"/>
              <w:left w:w="80" w:type="dxa"/>
              <w:bottom w:w="50" w:type="dxa"/>
              <w:right w:w="80" w:type="dxa"/>
            </w:tcMar>
            <w:vAlign w:val="center"/>
          </w:tcPr>
          <w:p w14:paraId="19088D9E" w14:textId="77777777" w:rsidR="00BE3A40" w:rsidRDefault="00000000">
            <w:pPr>
              <w:spacing w:after="0"/>
              <w:jc w:val="center"/>
            </w:pPr>
            <w:r>
              <w:rPr>
                <w:sz w:val="18"/>
              </w:rPr>
              <w:t>36.6%</w:t>
            </w:r>
          </w:p>
        </w:tc>
        <w:tc>
          <w:tcPr>
            <w:tcW w:w="1984" w:type="dxa"/>
            <w:shd w:val="clear" w:color="auto" w:fill="F4F7FB"/>
            <w:tcMar>
              <w:top w:w="50" w:type="dxa"/>
              <w:left w:w="80" w:type="dxa"/>
              <w:bottom w:w="50" w:type="dxa"/>
              <w:right w:w="80" w:type="dxa"/>
            </w:tcMar>
            <w:vAlign w:val="center"/>
          </w:tcPr>
          <w:p w14:paraId="782D99A5" w14:textId="77777777" w:rsidR="00BE3A40" w:rsidRDefault="00000000">
            <w:pPr>
              <w:spacing w:after="0"/>
              <w:jc w:val="center"/>
            </w:pPr>
            <w:r>
              <w:rPr>
                <w:sz w:val="18"/>
              </w:rPr>
              <w:t>57.3%*</w:t>
            </w:r>
          </w:p>
        </w:tc>
        <w:tc>
          <w:tcPr>
            <w:tcW w:w="1984" w:type="dxa"/>
            <w:shd w:val="clear" w:color="auto" w:fill="F4F7FB"/>
            <w:tcMar>
              <w:top w:w="50" w:type="dxa"/>
              <w:left w:w="80" w:type="dxa"/>
              <w:bottom w:w="50" w:type="dxa"/>
              <w:right w:w="80" w:type="dxa"/>
            </w:tcMar>
            <w:vAlign w:val="center"/>
          </w:tcPr>
          <w:p w14:paraId="086C5870" w14:textId="77777777" w:rsidR="00BE3A40" w:rsidRDefault="00000000">
            <w:pPr>
              <w:spacing w:after="0"/>
              <w:jc w:val="center"/>
            </w:pPr>
            <w:r>
              <w:rPr>
                <w:sz w:val="18"/>
              </w:rPr>
              <w:t>47.0%</w:t>
            </w:r>
          </w:p>
        </w:tc>
      </w:tr>
      <w:tr w:rsidR="00BE3A40" w14:paraId="7F6128EA" w14:textId="77777777">
        <w:trPr>
          <w:jc w:val="center"/>
        </w:trPr>
        <w:tc>
          <w:tcPr>
            <w:tcW w:w="2835" w:type="dxa"/>
            <w:tcMar>
              <w:top w:w="50" w:type="dxa"/>
              <w:left w:w="80" w:type="dxa"/>
              <w:bottom w:w="50" w:type="dxa"/>
              <w:right w:w="80" w:type="dxa"/>
            </w:tcMar>
            <w:vAlign w:val="center"/>
          </w:tcPr>
          <w:p w14:paraId="19062C3D" w14:textId="77777777" w:rsidR="00BE3A40" w:rsidRDefault="00000000">
            <w:pPr>
              <w:spacing w:after="0"/>
            </w:pPr>
            <w:r>
              <w:rPr>
                <w:b/>
                <w:sz w:val="18"/>
              </w:rPr>
              <w:t>EBITDA margin (%)</w:t>
            </w:r>
          </w:p>
        </w:tc>
        <w:tc>
          <w:tcPr>
            <w:tcW w:w="1984" w:type="dxa"/>
            <w:tcMar>
              <w:top w:w="50" w:type="dxa"/>
              <w:left w:w="80" w:type="dxa"/>
              <w:bottom w:w="50" w:type="dxa"/>
              <w:right w:w="80" w:type="dxa"/>
            </w:tcMar>
            <w:vAlign w:val="center"/>
          </w:tcPr>
          <w:p w14:paraId="1CDBF25C" w14:textId="77777777" w:rsidR="00BE3A40" w:rsidRDefault="00000000">
            <w:pPr>
              <w:spacing w:after="0"/>
              <w:jc w:val="center"/>
            </w:pPr>
            <w:r>
              <w:rPr>
                <w:sz w:val="18"/>
              </w:rPr>
              <w:t>16.0%</w:t>
            </w:r>
          </w:p>
        </w:tc>
        <w:tc>
          <w:tcPr>
            <w:tcW w:w="1984" w:type="dxa"/>
            <w:tcMar>
              <w:top w:w="50" w:type="dxa"/>
              <w:left w:w="80" w:type="dxa"/>
              <w:bottom w:w="50" w:type="dxa"/>
              <w:right w:w="80" w:type="dxa"/>
            </w:tcMar>
            <w:vAlign w:val="center"/>
          </w:tcPr>
          <w:p w14:paraId="3CED70DD" w14:textId="77777777" w:rsidR="00BE3A40" w:rsidRDefault="00000000">
            <w:pPr>
              <w:spacing w:after="0"/>
              <w:jc w:val="center"/>
            </w:pPr>
            <w:r>
              <w:rPr>
                <w:sz w:val="18"/>
              </w:rPr>
              <w:t>16.0%</w:t>
            </w:r>
          </w:p>
        </w:tc>
        <w:tc>
          <w:tcPr>
            <w:tcW w:w="1984" w:type="dxa"/>
            <w:tcMar>
              <w:top w:w="50" w:type="dxa"/>
              <w:left w:w="80" w:type="dxa"/>
              <w:bottom w:w="50" w:type="dxa"/>
              <w:right w:w="80" w:type="dxa"/>
            </w:tcMar>
            <w:vAlign w:val="center"/>
          </w:tcPr>
          <w:p w14:paraId="7C0FA606" w14:textId="77777777" w:rsidR="00BE3A40" w:rsidRDefault="00000000">
            <w:pPr>
              <w:spacing w:after="0"/>
              <w:jc w:val="center"/>
            </w:pPr>
            <w:r>
              <w:rPr>
                <w:sz w:val="18"/>
              </w:rPr>
              <w:t>17.2%</w:t>
            </w:r>
          </w:p>
        </w:tc>
      </w:tr>
      <w:tr w:rsidR="00BE3A40" w14:paraId="74DD6E0F" w14:textId="77777777">
        <w:trPr>
          <w:jc w:val="center"/>
        </w:trPr>
        <w:tc>
          <w:tcPr>
            <w:tcW w:w="2835" w:type="dxa"/>
            <w:shd w:val="clear" w:color="auto" w:fill="F4F7FB"/>
            <w:tcMar>
              <w:top w:w="50" w:type="dxa"/>
              <w:left w:w="80" w:type="dxa"/>
              <w:bottom w:w="50" w:type="dxa"/>
              <w:right w:w="80" w:type="dxa"/>
            </w:tcMar>
            <w:vAlign w:val="center"/>
          </w:tcPr>
          <w:p w14:paraId="4D6B9936" w14:textId="77777777" w:rsidR="00BE3A40" w:rsidRDefault="00000000">
            <w:pPr>
              <w:spacing w:after="0"/>
            </w:pPr>
            <w:r>
              <w:rPr>
                <w:b/>
                <w:sz w:val="18"/>
              </w:rPr>
              <w:t>Net profit margin (%)</w:t>
            </w:r>
          </w:p>
        </w:tc>
        <w:tc>
          <w:tcPr>
            <w:tcW w:w="1984" w:type="dxa"/>
            <w:shd w:val="clear" w:color="auto" w:fill="F4F7FB"/>
            <w:tcMar>
              <w:top w:w="50" w:type="dxa"/>
              <w:left w:w="80" w:type="dxa"/>
              <w:bottom w:w="50" w:type="dxa"/>
              <w:right w:w="80" w:type="dxa"/>
            </w:tcMar>
            <w:vAlign w:val="center"/>
          </w:tcPr>
          <w:p w14:paraId="33E17E5D" w14:textId="77777777" w:rsidR="00BE3A40" w:rsidRDefault="00000000">
            <w:pPr>
              <w:spacing w:after="0"/>
              <w:jc w:val="center"/>
            </w:pPr>
            <w:r>
              <w:rPr>
                <w:sz w:val="18"/>
              </w:rPr>
              <w:t>8.0%</w:t>
            </w:r>
          </w:p>
        </w:tc>
        <w:tc>
          <w:tcPr>
            <w:tcW w:w="1984" w:type="dxa"/>
            <w:shd w:val="clear" w:color="auto" w:fill="F4F7FB"/>
            <w:tcMar>
              <w:top w:w="50" w:type="dxa"/>
              <w:left w:w="80" w:type="dxa"/>
              <w:bottom w:w="50" w:type="dxa"/>
              <w:right w:w="80" w:type="dxa"/>
            </w:tcMar>
            <w:vAlign w:val="center"/>
          </w:tcPr>
          <w:p w14:paraId="6CB99624" w14:textId="77777777" w:rsidR="00BE3A40" w:rsidRDefault="00000000">
            <w:pPr>
              <w:spacing w:after="0"/>
              <w:jc w:val="center"/>
            </w:pPr>
            <w:r>
              <w:rPr>
                <w:sz w:val="18"/>
              </w:rPr>
              <w:t>8.9%</w:t>
            </w:r>
          </w:p>
        </w:tc>
        <w:tc>
          <w:tcPr>
            <w:tcW w:w="1984" w:type="dxa"/>
            <w:shd w:val="clear" w:color="auto" w:fill="F4F7FB"/>
            <w:tcMar>
              <w:top w:w="50" w:type="dxa"/>
              <w:left w:w="80" w:type="dxa"/>
              <w:bottom w:w="50" w:type="dxa"/>
              <w:right w:w="80" w:type="dxa"/>
            </w:tcMar>
            <w:vAlign w:val="center"/>
          </w:tcPr>
          <w:p w14:paraId="26C1D38C" w14:textId="77777777" w:rsidR="00BE3A40" w:rsidRDefault="00000000">
            <w:pPr>
              <w:spacing w:after="0"/>
              <w:jc w:val="center"/>
            </w:pPr>
            <w:r>
              <w:rPr>
                <w:sz w:val="18"/>
              </w:rPr>
              <w:t>7.9%</w:t>
            </w:r>
          </w:p>
        </w:tc>
      </w:tr>
      <w:tr w:rsidR="00BE3A40" w14:paraId="317EA683" w14:textId="77777777">
        <w:trPr>
          <w:jc w:val="center"/>
        </w:trPr>
        <w:tc>
          <w:tcPr>
            <w:tcW w:w="2835" w:type="dxa"/>
            <w:tcMar>
              <w:top w:w="50" w:type="dxa"/>
              <w:left w:w="80" w:type="dxa"/>
              <w:bottom w:w="50" w:type="dxa"/>
              <w:right w:w="80" w:type="dxa"/>
            </w:tcMar>
            <w:vAlign w:val="center"/>
          </w:tcPr>
          <w:p w14:paraId="6DD42B3C" w14:textId="77777777" w:rsidR="00BE3A40" w:rsidRDefault="00000000">
            <w:pPr>
              <w:spacing w:after="0"/>
            </w:pPr>
            <w:r>
              <w:rPr>
                <w:b/>
                <w:sz w:val="18"/>
              </w:rPr>
              <w:t>Return on equity (%)</w:t>
            </w:r>
          </w:p>
        </w:tc>
        <w:tc>
          <w:tcPr>
            <w:tcW w:w="1984" w:type="dxa"/>
            <w:tcMar>
              <w:top w:w="50" w:type="dxa"/>
              <w:left w:w="80" w:type="dxa"/>
              <w:bottom w:w="50" w:type="dxa"/>
              <w:right w:w="80" w:type="dxa"/>
            </w:tcMar>
            <w:vAlign w:val="center"/>
          </w:tcPr>
          <w:p w14:paraId="7F8B8B50" w14:textId="77777777" w:rsidR="00BE3A40" w:rsidRDefault="00000000">
            <w:pPr>
              <w:spacing w:after="0"/>
              <w:jc w:val="center"/>
            </w:pPr>
            <w:r>
              <w:rPr>
                <w:sz w:val="18"/>
              </w:rPr>
              <w:t>14.9%</w:t>
            </w:r>
          </w:p>
        </w:tc>
        <w:tc>
          <w:tcPr>
            <w:tcW w:w="1984" w:type="dxa"/>
            <w:tcMar>
              <w:top w:w="50" w:type="dxa"/>
              <w:left w:w="80" w:type="dxa"/>
              <w:bottom w:w="50" w:type="dxa"/>
              <w:right w:w="80" w:type="dxa"/>
            </w:tcMar>
            <w:vAlign w:val="center"/>
          </w:tcPr>
          <w:p w14:paraId="276C7945" w14:textId="77777777" w:rsidR="00BE3A40" w:rsidRDefault="00000000">
            <w:pPr>
              <w:spacing w:after="0"/>
              <w:jc w:val="center"/>
            </w:pPr>
            <w:r>
              <w:rPr>
                <w:sz w:val="18"/>
              </w:rPr>
              <w:t>15.6%</w:t>
            </w:r>
          </w:p>
        </w:tc>
        <w:tc>
          <w:tcPr>
            <w:tcW w:w="1984" w:type="dxa"/>
            <w:tcMar>
              <w:top w:w="50" w:type="dxa"/>
              <w:left w:w="80" w:type="dxa"/>
              <w:bottom w:w="50" w:type="dxa"/>
              <w:right w:w="80" w:type="dxa"/>
            </w:tcMar>
            <w:vAlign w:val="center"/>
          </w:tcPr>
          <w:p w14:paraId="077513A0" w14:textId="77777777" w:rsidR="00BE3A40" w:rsidRDefault="00000000">
            <w:pPr>
              <w:spacing w:after="0"/>
              <w:jc w:val="center"/>
            </w:pPr>
            <w:r>
              <w:rPr>
                <w:sz w:val="18"/>
              </w:rPr>
              <w:t>25.7%</w:t>
            </w:r>
          </w:p>
        </w:tc>
      </w:tr>
      <w:tr w:rsidR="00BE3A40" w14:paraId="56D3F629" w14:textId="77777777">
        <w:trPr>
          <w:jc w:val="center"/>
        </w:trPr>
        <w:tc>
          <w:tcPr>
            <w:tcW w:w="2835" w:type="dxa"/>
            <w:shd w:val="clear" w:color="auto" w:fill="F4F7FB"/>
            <w:tcMar>
              <w:top w:w="50" w:type="dxa"/>
              <w:left w:w="80" w:type="dxa"/>
              <w:bottom w:w="50" w:type="dxa"/>
              <w:right w:w="80" w:type="dxa"/>
            </w:tcMar>
            <w:vAlign w:val="center"/>
          </w:tcPr>
          <w:p w14:paraId="62C6AAB5" w14:textId="77777777" w:rsidR="00BE3A40" w:rsidRDefault="00000000">
            <w:pPr>
              <w:spacing w:after="0"/>
            </w:pPr>
            <w:r>
              <w:rPr>
                <w:b/>
                <w:sz w:val="18"/>
              </w:rPr>
              <w:t>Return on assets (%)</w:t>
            </w:r>
          </w:p>
        </w:tc>
        <w:tc>
          <w:tcPr>
            <w:tcW w:w="1984" w:type="dxa"/>
            <w:shd w:val="clear" w:color="auto" w:fill="F4F7FB"/>
            <w:tcMar>
              <w:top w:w="50" w:type="dxa"/>
              <w:left w:w="80" w:type="dxa"/>
              <w:bottom w:w="50" w:type="dxa"/>
              <w:right w:w="80" w:type="dxa"/>
            </w:tcMar>
            <w:vAlign w:val="center"/>
          </w:tcPr>
          <w:p w14:paraId="7A8FC7A7" w14:textId="77777777" w:rsidR="00BE3A40" w:rsidRDefault="00000000">
            <w:pPr>
              <w:spacing w:after="0"/>
              <w:jc w:val="center"/>
            </w:pPr>
            <w:r>
              <w:rPr>
                <w:sz w:val="18"/>
              </w:rPr>
              <w:t>9.6%</w:t>
            </w:r>
          </w:p>
        </w:tc>
        <w:tc>
          <w:tcPr>
            <w:tcW w:w="1984" w:type="dxa"/>
            <w:shd w:val="clear" w:color="auto" w:fill="F4F7FB"/>
            <w:tcMar>
              <w:top w:w="50" w:type="dxa"/>
              <w:left w:w="80" w:type="dxa"/>
              <w:bottom w:w="50" w:type="dxa"/>
              <w:right w:w="80" w:type="dxa"/>
            </w:tcMar>
            <w:vAlign w:val="center"/>
          </w:tcPr>
          <w:p w14:paraId="78EB5311" w14:textId="77777777" w:rsidR="00BE3A40" w:rsidRDefault="00000000">
            <w:pPr>
              <w:spacing w:after="0"/>
              <w:jc w:val="center"/>
            </w:pPr>
            <w:r>
              <w:rPr>
                <w:sz w:val="18"/>
              </w:rPr>
              <w:t>8.4%</w:t>
            </w:r>
          </w:p>
        </w:tc>
        <w:tc>
          <w:tcPr>
            <w:tcW w:w="1984" w:type="dxa"/>
            <w:shd w:val="clear" w:color="auto" w:fill="F4F7FB"/>
            <w:tcMar>
              <w:top w:w="50" w:type="dxa"/>
              <w:left w:w="80" w:type="dxa"/>
              <w:bottom w:w="50" w:type="dxa"/>
              <w:right w:w="80" w:type="dxa"/>
            </w:tcMar>
            <w:vAlign w:val="center"/>
          </w:tcPr>
          <w:p w14:paraId="76DEA7B0" w14:textId="77777777" w:rsidR="00BE3A40" w:rsidRDefault="00000000">
            <w:pPr>
              <w:spacing w:after="0"/>
              <w:jc w:val="center"/>
            </w:pPr>
            <w:r>
              <w:rPr>
                <w:sz w:val="18"/>
              </w:rPr>
              <w:t>11.1%</w:t>
            </w:r>
          </w:p>
        </w:tc>
      </w:tr>
      <w:tr w:rsidR="00BE3A40" w14:paraId="051B3EC6" w14:textId="77777777">
        <w:trPr>
          <w:jc w:val="center"/>
        </w:trPr>
        <w:tc>
          <w:tcPr>
            <w:tcW w:w="2835" w:type="dxa"/>
            <w:tcMar>
              <w:top w:w="50" w:type="dxa"/>
              <w:left w:w="80" w:type="dxa"/>
              <w:bottom w:w="50" w:type="dxa"/>
              <w:right w:w="80" w:type="dxa"/>
            </w:tcMar>
            <w:vAlign w:val="center"/>
          </w:tcPr>
          <w:p w14:paraId="1C975A0A" w14:textId="77777777" w:rsidR="00BE3A40" w:rsidRDefault="00000000">
            <w:pPr>
              <w:spacing w:after="0"/>
            </w:pPr>
            <w:r>
              <w:rPr>
                <w:b/>
                <w:sz w:val="18"/>
              </w:rPr>
              <w:t>Asset turnover (×)</w:t>
            </w:r>
          </w:p>
        </w:tc>
        <w:tc>
          <w:tcPr>
            <w:tcW w:w="1984" w:type="dxa"/>
            <w:tcMar>
              <w:top w:w="50" w:type="dxa"/>
              <w:left w:w="80" w:type="dxa"/>
              <w:bottom w:w="50" w:type="dxa"/>
              <w:right w:w="80" w:type="dxa"/>
            </w:tcMar>
            <w:vAlign w:val="center"/>
          </w:tcPr>
          <w:p w14:paraId="7565EE9F" w14:textId="77777777" w:rsidR="00BE3A40" w:rsidRDefault="00000000">
            <w:pPr>
              <w:spacing w:after="0"/>
              <w:jc w:val="center"/>
            </w:pPr>
            <w:r>
              <w:rPr>
                <w:sz w:val="18"/>
              </w:rPr>
              <w:t>1.20</w:t>
            </w:r>
          </w:p>
        </w:tc>
        <w:tc>
          <w:tcPr>
            <w:tcW w:w="1984" w:type="dxa"/>
            <w:tcMar>
              <w:top w:w="50" w:type="dxa"/>
              <w:left w:w="80" w:type="dxa"/>
              <w:bottom w:w="50" w:type="dxa"/>
              <w:right w:w="80" w:type="dxa"/>
            </w:tcMar>
            <w:vAlign w:val="center"/>
          </w:tcPr>
          <w:p w14:paraId="6280446B" w14:textId="77777777" w:rsidR="00BE3A40" w:rsidRDefault="00000000">
            <w:pPr>
              <w:spacing w:after="0"/>
              <w:jc w:val="center"/>
            </w:pPr>
            <w:r>
              <w:rPr>
                <w:sz w:val="18"/>
              </w:rPr>
              <w:t>0.94</w:t>
            </w:r>
          </w:p>
        </w:tc>
        <w:tc>
          <w:tcPr>
            <w:tcW w:w="1984" w:type="dxa"/>
            <w:tcMar>
              <w:top w:w="50" w:type="dxa"/>
              <w:left w:w="80" w:type="dxa"/>
              <w:bottom w:w="50" w:type="dxa"/>
              <w:right w:w="80" w:type="dxa"/>
            </w:tcMar>
            <w:vAlign w:val="center"/>
          </w:tcPr>
          <w:p w14:paraId="6DCDA40B" w14:textId="77777777" w:rsidR="00BE3A40" w:rsidRDefault="00000000">
            <w:pPr>
              <w:spacing w:after="0"/>
              <w:jc w:val="center"/>
            </w:pPr>
            <w:r>
              <w:rPr>
                <w:sz w:val="18"/>
              </w:rPr>
              <w:t>1.40</w:t>
            </w:r>
          </w:p>
        </w:tc>
      </w:tr>
      <w:tr w:rsidR="00BE3A40" w14:paraId="5A0F779F" w14:textId="77777777">
        <w:trPr>
          <w:jc w:val="center"/>
        </w:trPr>
        <w:tc>
          <w:tcPr>
            <w:tcW w:w="2835" w:type="dxa"/>
            <w:shd w:val="clear" w:color="auto" w:fill="F4F7FB"/>
            <w:tcMar>
              <w:top w:w="50" w:type="dxa"/>
              <w:left w:w="80" w:type="dxa"/>
              <w:bottom w:w="50" w:type="dxa"/>
              <w:right w:w="80" w:type="dxa"/>
            </w:tcMar>
            <w:vAlign w:val="center"/>
          </w:tcPr>
          <w:p w14:paraId="0143E051" w14:textId="77777777" w:rsidR="00BE3A40" w:rsidRDefault="00000000">
            <w:pPr>
              <w:spacing w:after="0"/>
            </w:pPr>
            <w:r>
              <w:rPr>
                <w:b/>
                <w:sz w:val="18"/>
              </w:rPr>
              <w:t>Inventory days (COGS basis)</w:t>
            </w:r>
          </w:p>
        </w:tc>
        <w:tc>
          <w:tcPr>
            <w:tcW w:w="1984" w:type="dxa"/>
            <w:shd w:val="clear" w:color="auto" w:fill="F4F7FB"/>
            <w:tcMar>
              <w:top w:w="50" w:type="dxa"/>
              <w:left w:w="80" w:type="dxa"/>
              <w:bottom w:w="50" w:type="dxa"/>
              <w:right w:w="80" w:type="dxa"/>
            </w:tcMar>
            <w:vAlign w:val="center"/>
          </w:tcPr>
          <w:p w14:paraId="24012140" w14:textId="77777777" w:rsidR="00BE3A40" w:rsidRDefault="00000000">
            <w:pPr>
              <w:spacing w:after="0"/>
              <w:jc w:val="center"/>
            </w:pPr>
            <w:r>
              <w:rPr>
                <w:sz w:val="18"/>
              </w:rPr>
              <w:t>144</w:t>
            </w:r>
          </w:p>
        </w:tc>
        <w:tc>
          <w:tcPr>
            <w:tcW w:w="1984" w:type="dxa"/>
            <w:shd w:val="clear" w:color="auto" w:fill="F4F7FB"/>
            <w:tcMar>
              <w:top w:w="50" w:type="dxa"/>
              <w:left w:w="80" w:type="dxa"/>
              <w:bottom w:w="50" w:type="dxa"/>
              <w:right w:w="80" w:type="dxa"/>
            </w:tcMar>
            <w:vAlign w:val="center"/>
          </w:tcPr>
          <w:p w14:paraId="5A6552F7" w14:textId="77777777" w:rsidR="00BE3A40" w:rsidRDefault="00000000">
            <w:pPr>
              <w:spacing w:after="0"/>
              <w:jc w:val="center"/>
            </w:pPr>
            <w:r>
              <w:rPr>
                <w:sz w:val="18"/>
              </w:rPr>
              <w:t>n/a</w:t>
            </w:r>
          </w:p>
        </w:tc>
        <w:tc>
          <w:tcPr>
            <w:tcW w:w="1984" w:type="dxa"/>
            <w:shd w:val="clear" w:color="auto" w:fill="F4F7FB"/>
            <w:tcMar>
              <w:top w:w="50" w:type="dxa"/>
              <w:left w:w="80" w:type="dxa"/>
              <w:bottom w:w="50" w:type="dxa"/>
              <w:right w:w="80" w:type="dxa"/>
            </w:tcMar>
            <w:vAlign w:val="center"/>
          </w:tcPr>
          <w:p w14:paraId="7C2CB457" w14:textId="77777777" w:rsidR="00BE3A40" w:rsidRDefault="00000000">
            <w:pPr>
              <w:spacing w:after="0"/>
              <w:jc w:val="center"/>
            </w:pPr>
            <w:r>
              <w:rPr>
                <w:sz w:val="18"/>
              </w:rPr>
              <w:t>112</w:t>
            </w:r>
          </w:p>
        </w:tc>
      </w:tr>
      <w:tr w:rsidR="00BE3A40" w14:paraId="5D908D1F" w14:textId="77777777">
        <w:trPr>
          <w:jc w:val="center"/>
        </w:trPr>
        <w:tc>
          <w:tcPr>
            <w:tcW w:w="2835" w:type="dxa"/>
            <w:tcMar>
              <w:top w:w="50" w:type="dxa"/>
              <w:left w:w="80" w:type="dxa"/>
              <w:bottom w:w="50" w:type="dxa"/>
              <w:right w:w="80" w:type="dxa"/>
            </w:tcMar>
            <w:vAlign w:val="center"/>
          </w:tcPr>
          <w:p w14:paraId="1E6CFF15" w14:textId="77777777" w:rsidR="00BE3A40" w:rsidRDefault="00000000">
            <w:pPr>
              <w:spacing w:after="0"/>
            </w:pPr>
            <w:r>
              <w:rPr>
                <w:b/>
                <w:sz w:val="18"/>
              </w:rPr>
              <w:t>Debt / Equity (%)</w:t>
            </w:r>
          </w:p>
        </w:tc>
        <w:tc>
          <w:tcPr>
            <w:tcW w:w="1984" w:type="dxa"/>
            <w:tcMar>
              <w:top w:w="50" w:type="dxa"/>
              <w:left w:w="80" w:type="dxa"/>
              <w:bottom w:w="50" w:type="dxa"/>
              <w:right w:w="80" w:type="dxa"/>
            </w:tcMar>
            <w:vAlign w:val="center"/>
          </w:tcPr>
          <w:p w14:paraId="568286D1" w14:textId="77777777" w:rsidR="00BE3A40" w:rsidRDefault="00000000">
            <w:pPr>
              <w:spacing w:after="0"/>
              <w:jc w:val="center"/>
            </w:pPr>
            <w:r>
              <w:rPr>
                <w:sz w:val="18"/>
              </w:rPr>
              <w:t>12.1%</w:t>
            </w:r>
          </w:p>
        </w:tc>
        <w:tc>
          <w:tcPr>
            <w:tcW w:w="1984" w:type="dxa"/>
            <w:tcMar>
              <w:top w:w="50" w:type="dxa"/>
              <w:left w:w="80" w:type="dxa"/>
              <w:bottom w:w="50" w:type="dxa"/>
              <w:right w:w="80" w:type="dxa"/>
            </w:tcMar>
            <w:vAlign w:val="center"/>
          </w:tcPr>
          <w:p w14:paraId="687AF6FC" w14:textId="77777777" w:rsidR="00BE3A40" w:rsidRDefault="00000000">
            <w:pPr>
              <w:spacing w:after="0"/>
              <w:jc w:val="center"/>
            </w:pPr>
            <w:r>
              <w:rPr>
                <w:sz w:val="18"/>
              </w:rPr>
              <w:t>23.4%</w:t>
            </w:r>
          </w:p>
        </w:tc>
        <w:tc>
          <w:tcPr>
            <w:tcW w:w="1984" w:type="dxa"/>
            <w:tcMar>
              <w:top w:w="50" w:type="dxa"/>
              <w:left w:w="80" w:type="dxa"/>
              <w:bottom w:w="50" w:type="dxa"/>
              <w:right w:w="80" w:type="dxa"/>
            </w:tcMar>
            <w:vAlign w:val="center"/>
          </w:tcPr>
          <w:p w14:paraId="50621370" w14:textId="77777777" w:rsidR="00BE3A40" w:rsidRDefault="00000000">
            <w:pPr>
              <w:spacing w:after="0"/>
              <w:jc w:val="center"/>
            </w:pPr>
            <w:r>
              <w:rPr>
                <w:sz w:val="18"/>
              </w:rPr>
              <w:t>47.6%</w:t>
            </w:r>
          </w:p>
        </w:tc>
      </w:tr>
      <w:tr w:rsidR="00BE3A40" w14:paraId="7518F67E" w14:textId="77777777">
        <w:trPr>
          <w:jc w:val="center"/>
        </w:trPr>
        <w:tc>
          <w:tcPr>
            <w:tcW w:w="2835" w:type="dxa"/>
            <w:shd w:val="clear" w:color="auto" w:fill="F4F7FB"/>
            <w:tcMar>
              <w:top w:w="50" w:type="dxa"/>
              <w:left w:w="80" w:type="dxa"/>
              <w:bottom w:w="50" w:type="dxa"/>
              <w:right w:w="80" w:type="dxa"/>
            </w:tcMar>
            <w:vAlign w:val="center"/>
          </w:tcPr>
          <w:p w14:paraId="0D82CB83" w14:textId="77777777" w:rsidR="00BE3A40" w:rsidRDefault="00000000">
            <w:pPr>
              <w:spacing w:after="0"/>
            </w:pPr>
            <w:r>
              <w:rPr>
                <w:b/>
                <w:sz w:val="18"/>
              </w:rPr>
              <w:t>Interest coverage (×)</w:t>
            </w:r>
          </w:p>
        </w:tc>
        <w:tc>
          <w:tcPr>
            <w:tcW w:w="1984" w:type="dxa"/>
            <w:shd w:val="clear" w:color="auto" w:fill="F4F7FB"/>
            <w:tcMar>
              <w:top w:w="50" w:type="dxa"/>
              <w:left w:w="80" w:type="dxa"/>
              <w:bottom w:w="50" w:type="dxa"/>
              <w:right w:w="80" w:type="dxa"/>
            </w:tcMar>
            <w:vAlign w:val="center"/>
          </w:tcPr>
          <w:p w14:paraId="6DC60D9F" w14:textId="77777777" w:rsidR="00BE3A40" w:rsidRDefault="00000000">
            <w:pPr>
              <w:spacing w:after="0"/>
              <w:jc w:val="center"/>
            </w:pPr>
            <w:r>
              <w:rPr>
                <w:sz w:val="18"/>
              </w:rPr>
              <w:t>12.1</w:t>
            </w:r>
          </w:p>
        </w:tc>
        <w:tc>
          <w:tcPr>
            <w:tcW w:w="1984" w:type="dxa"/>
            <w:shd w:val="clear" w:color="auto" w:fill="F4F7FB"/>
            <w:tcMar>
              <w:top w:w="50" w:type="dxa"/>
              <w:left w:w="80" w:type="dxa"/>
              <w:bottom w:w="50" w:type="dxa"/>
              <w:right w:w="80" w:type="dxa"/>
            </w:tcMar>
            <w:vAlign w:val="center"/>
          </w:tcPr>
          <w:p w14:paraId="62056CF8" w14:textId="77777777" w:rsidR="00BE3A40" w:rsidRDefault="00000000">
            <w:pPr>
              <w:spacing w:after="0"/>
              <w:jc w:val="center"/>
            </w:pPr>
            <w:r>
              <w:rPr>
                <w:sz w:val="18"/>
              </w:rPr>
              <w:t>148.5</w:t>
            </w:r>
          </w:p>
        </w:tc>
        <w:tc>
          <w:tcPr>
            <w:tcW w:w="1984" w:type="dxa"/>
            <w:shd w:val="clear" w:color="auto" w:fill="F4F7FB"/>
            <w:tcMar>
              <w:top w:w="50" w:type="dxa"/>
              <w:left w:w="80" w:type="dxa"/>
              <w:bottom w:w="50" w:type="dxa"/>
              <w:right w:w="80" w:type="dxa"/>
            </w:tcMar>
            <w:vAlign w:val="center"/>
          </w:tcPr>
          <w:p w14:paraId="053248A1" w14:textId="77777777" w:rsidR="00BE3A40" w:rsidRDefault="00000000">
            <w:pPr>
              <w:spacing w:after="0"/>
              <w:jc w:val="center"/>
            </w:pPr>
            <w:r>
              <w:rPr>
                <w:sz w:val="18"/>
              </w:rPr>
              <w:t>n/a</w:t>
            </w:r>
          </w:p>
        </w:tc>
      </w:tr>
      <w:tr w:rsidR="00BE3A40" w14:paraId="758BD8C7" w14:textId="77777777">
        <w:trPr>
          <w:jc w:val="center"/>
        </w:trPr>
        <w:tc>
          <w:tcPr>
            <w:tcW w:w="2835" w:type="dxa"/>
            <w:tcMar>
              <w:top w:w="50" w:type="dxa"/>
              <w:left w:w="80" w:type="dxa"/>
              <w:bottom w:w="50" w:type="dxa"/>
              <w:right w:w="80" w:type="dxa"/>
            </w:tcMar>
            <w:vAlign w:val="center"/>
          </w:tcPr>
          <w:p w14:paraId="59B52DD8" w14:textId="77777777" w:rsidR="00BE3A40" w:rsidRDefault="00000000">
            <w:pPr>
              <w:spacing w:after="0"/>
            </w:pPr>
            <w:r>
              <w:rPr>
                <w:b/>
                <w:sz w:val="18"/>
              </w:rPr>
              <w:t>OCF / Sales (%)</w:t>
            </w:r>
          </w:p>
        </w:tc>
        <w:tc>
          <w:tcPr>
            <w:tcW w:w="1984" w:type="dxa"/>
            <w:tcMar>
              <w:top w:w="50" w:type="dxa"/>
              <w:left w:w="80" w:type="dxa"/>
              <w:bottom w:w="50" w:type="dxa"/>
              <w:right w:w="80" w:type="dxa"/>
            </w:tcMar>
            <w:vAlign w:val="center"/>
          </w:tcPr>
          <w:p w14:paraId="16AC8ADE" w14:textId="77777777" w:rsidR="00BE3A40" w:rsidRDefault="00000000">
            <w:pPr>
              <w:spacing w:after="0"/>
              <w:jc w:val="center"/>
            </w:pPr>
            <w:r>
              <w:rPr>
                <w:sz w:val="18"/>
              </w:rPr>
              <w:t>10.1%</w:t>
            </w:r>
          </w:p>
        </w:tc>
        <w:tc>
          <w:tcPr>
            <w:tcW w:w="1984" w:type="dxa"/>
            <w:tcMar>
              <w:top w:w="50" w:type="dxa"/>
              <w:left w:w="80" w:type="dxa"/>
              <w:bottom w:w="50" w:type="dxa"/>
              <w:right w:w="80" w:type="dxa"/>
            </w:tcMar>
            <w:vAlign w:val="center"/>
          </w:tcPr>
          <w:p w14:paraId="7458207D" w14:textId="77777777" w:rsidR="00BE3A40" w:rsidRDefault="00000000">
            <w:pPr>
              <w:spacing w:after="0"/>
              <w:jc w:val="center"/>
            </w:pPr>
            <w:r>
              <w:rPr>
                <w:sz w:val="18"/>
              </w:rPr>
              <w:t>10.7%</w:t>
            </w:r>
          </w:p>
        </w:tc>
        <w:tc>
          <w:tcPr>
            <w:tcW w:w="1984" w:type="dxa"/>
            <w:tcMar>
              <w:top w:w="50" w:type="dxa"/>
              <w:left w:w="80" w:type="dxa"/>
              <w:bottom w:w="50" w:type="dxa"/>
              <w:right w:w="80" w:type="dxa"/>
            </w:tcMar>
            <w:vAlign w:val="center"/>
          </w:tcPr>
          <w:p w14:paraId="73E3644D" w14:textId="77777777" w:rsidR="00BE3A40" w:rsidRDefault="00000000">
            <w:pPr>
              <w:spacing w:after="0"/>
              <w:jc w:val="center"/>
            </w:pPr>
            <w:r>
              <w:rPr>
                <w:sz w:val="18"/>
              </w:rPr>
              <w:t>n/a</w:t>
            </w:r>
          </w:p>
        </w:tc>
      </w:tr>
    </w:tbl>
    <w:p w14:paraId="11083F69" w14:textId="6688A199" w:rsidR="00BE3A40" w:rsidRDefault="00000000">
      <w:pPr>
        <w:spacing w:after="160"/>
      </w:pPr>
      <w:r>
        <w:rPr>
          <w:i/>
          <w:color w:val="666666"/>
          <w:sz w:val="16"/>
        </w:rPr>
        <w:t>Note: Revenue figures translated to AUD at indicative FY24 average rates of EUR/AUD 1.65 and USD/AUD 1.55. Ratios are calculated in each company's reporting currency, so currency translation does not affect them</w:t>
      </w:r>
      <w:r w:rsidR="00D239D2">
        <w:rPr>
          <w:i/>
          <w:color w:val="666666"/>
          <w:sz w:val="16"/>
        </w:rPr>
        <w:t xml:space="preserve">. </w:t>
      </w:r>
      <w:r>
        <w:rPr>
          <w:i/>
          <w:color w:val="666666"/>
          <w:sz w:val="16"/>
        </w:rPr>
        <w:t>Sources: BRG FY25 Annual Report; Yahoo Finance and SEC 10-K filings for peers.</w:t>
      </w:r>
    </w:p>
    <w:p w14:paraId="04754F07" w14:textId="77777777" w:rsidR="00BE3A40" w:rsidRDefault="00000000">
      <w:pPr>
        <w:jc w:val="both"/>
      </w:pPr>
      <w:r>
        <w:rPr>
          <w:b/>
        </w:rPr>
        <w:lastRenderedPageBreak/>
        <w:t xml:space="preserve">Profitability. </w:t>
      </w:r>
      <w:r>
        <w:t>Breville's 16.0% EBITDA margin matches De'Longhi's and is 120bps below SharkNinja's 17.2%. ROE of 14.9% is the lowest of the three, reflecting Breville's lower financial leverage rather than weaker operating performance: ROA of 9.6% sits between the peers. The most striking gap is in gross margin (36.6% vs De'Longhi 57.3% and SharkNinja 47.0%), although this is heavily influenced by accounting classifications (De'Longhi allocates more production overhead below gross profit). On a like-for-like industrial-margin basis the gap narrows.</w:t>
      </w:r>
    </w:p>
    <w:p w14:paraId="236575A5" w14:textId="77777777" w:rsidR="00BE3A40" w:rsidRDefault="00000000">
      <w:pPr>
        <w:jc w:val="both"/>
      </w:pPr>
      <w:r>
        <w:rPr>
          <w:b/>
        </w:rPr>
        <w:t xml:space="preserve">Asset management. </w:t>
      </w:r>
      <w:r>
        <w:t>Breville's asset turnover of 1.20× is between the two peers and consistent with the asset-light model. Inventory days of 144 are higher than SharkNinja's 112, reflecting the FY25 tariff pull-forward; this is expected to normalise to 110-120 days over FY26-FY27 as the pre-tariff inventory is sold through.</w:t>
      </w:r>
    </w:p>
    <w:p w14:paraId="065EF3F7" w14:textId="77777777" w:rsidR="00BE3A40" w:rsidRDefault="00000000">
      <w:pPr>
        <w:jc w:val="both"/>
      </w:pPr>
      <w:r>
        <w:rPr>
          <w:b/>
        </w:rPr>
        <w:t xml:space="preserve">Debt and safety. </w:t>
      </w:r>
      <w:r>
        <w:t>Breville is by far the most conservatively financed of the three peers, with debt/equity of just 12.1% versus 23.4% (De'Longhi) and 47.6% (SharkNinja). Interest coverage of 12.1× is comfortably above the 4× threshold typically required for an investment-grade-equivalent credit profile. This conservative balance sheet provides flexibility to fund the manufacturing diversification programme and supports the reasonableness of the long-term growth assumptions used in Section F.</w:t>
      </w:r>
    </w:p>
    <w:p w14:paraId="03C206FA" w14:textId="77777777" w:rsidR="00BE3A40" w:rsidRDefault="00000000">
      <w:pPr>
        <w:jc w:val="both"/>
      </w:pPr>
      <w:r>
        <w:rPr>
          <w:b/>
        </w:rPr>
        <w:t xml:space="preserve">Cash flow. </w:t>
      </w:r>
      <w:r>
        <w:t>Breville's operating cash flow / sales of 10.1% is broadly comparable to De'Longhi's 10.7%. FY24 had an unusually high OCF (A$303m, 19.8%) as inventory was unwound, while FY25 reflects the tariff pull-forward investment. The five-year average is around 12% and is the most appropriate benchmark.</w:t>
      </w:r>
    </w:p>
    <w:p w14:paraId="1A8BAAB3" w14:textId="08F813FB" w:rsidR="00BE3A40" w:rsidRDefault="00000000" w:rsidP="00D239D2">
      <w:r>
        <w:rPr>
          <w:b/>
        </w:rPr>
        <w:t xml:space="preserve">Synthesis. </w:t>
      </w:r>
      <w:r>
        <w:t>Across the four ratio categories, Breville sits between De'Longhi and SharkNinja in most operating measures and is the cleanest of the three on balance-sheet quality. SharkNinja achieves the highest ROE in part because it carries approximately four times Breville's financial leverage. De'Longhi displays the highest gross margin even after adjusting for the accounting classification difference, but its lower asset turnover means returns on assets are similar to Breville. Breville's underlying operating quality is therefore broadly in line with the global peer set. The financial-analysis evidence supports the long-run EBITDA margin assumption of 16-17% used in the most-likely forecast scenario. It also validates the manufacturing diversification programme as a route to narrowing the profitability gap with SharkNinja over time. The conservative balance sheet provides meaningful flexibility to fund this programme without recourse to new equity issuance.</w:t>
      </w:r>
    </w:p>
    <w:p w14:paraId="7B20425B" w14:textId="77777777" w:rsidR="00BE3A40" w:rsidRDefault="00000000">
      <w:pPr>
        <w:pStyle w:val="Heading1"/>
      </w:pPr>
      <w:r>
        <w:t>Section F — Prospective Analysis (Forecasting)</w:t>
      </w:r>
    </w:p>
    <w:p w14:paraId="1F9E9924" w14:textId="77777777" w:rsidR="00BE3A40" w:rsidRDefault="00000000">
      <w:pPr>
        <w:pStyle w:val="Heading2"/>
      </w:pPr>
      <w:r>
        <w:t>F.1  Forecast horizon and methodology</w:t>
      </w:r>
    </w:p>
    <w:p w14:paraId="2265CC20" w14:textId="77777777" w:rsidR="00BE3A40" w:rsidRDefault="00000000">
      <w:pPr>
        <w:jc w:val="both"/>
      </w:pPr>
      <w:r>
        <w:t xml:space="preserve">Following the framework set out in Lectures 8 and 9, Breville is forecast over a 12-year explicit horizon (FY26 to FY37) plus a terminal year. The 12-year horizon is chosen for two reasons. First, it allows the major near-term disturbances — the FY26 US-tariff drag and the subsequent recovery as manufacturing diversifies — to flow through to a stabilised steady state. Second, it provides time for the company's profitability and growth rates to fade toward Australian large-cap </w:t>
      </w:r>
      <w:r>
        <w:lastRenderedPageBreak/>
        <w:t>norms, consistent with the academic evidence that ROE and revenue growth revert toward industry means (Lecture 7).</w:t>
      </w:r>
    </w:p>
    <w:p w14:paraId="3654BD7E" w14:textId="77777777" w:rsidR="00BE3A40" w:rsidRDefault="00000000">
      <w:pPr>
        <w:jc w:val="both"/>
      </w:pPr>
      <w:r>
        <w:t>The forecast model follows the eight-driver structure set out in the Lecture 9 application and the supplied valuation template. Each forecast year is built from historical actuals (FY21 to FY25) and from explicit assumptions on eight drivers. These are: sales growth rate; EBITDA margin; working capital as a percentage of revenue; depreciation and amortisation as a percentage of long-term assets; long-term debt as a percentage of long-term assets; net interest rate; dividend payout ratio; and PP&amp;E plus intangibles as a percentage of revenue. Free Cash Flow to Equity is derived as NPAT + D&amp;A − ΔWC − ΔLT-assets + ΔLT-debt, and discounted at the cost of equity derived in Section G.</w:t>
      </w:r>
    </w:p>
    <w:p w14:paraId="6BF66AC1" w14:textId="77777777" w:rsidR="00BE3A40" w:rsidRDefault="00000000">
      <w:pPr>
        <w:jc w:val="both"/>
      </w:pPr>
      <w:r>
        <w:t>The historical financial data driving the model is sourced from DatAnalysis Premium (Morningstar) and reconciled to Breville's published Annual Reports. The five-year historical window (FY21-FY25) captures the post-COVID demand surge, the FY22 inventory build, and the FY25 tariff response, which together span most of the operating cycle volatility that the company has experienced in the recent past.</w:t>
      </w:r>
    </w:p>
    <w:p w14:paraId="676A621A" w14:textId="77777777" w:rsidR="00BE3A40" w:rsidRDefault="00000000">
      <w:pPr>
        <w:pStyle w:val="Heading2"/>
      </w:pPr>
      <w:r>
        <w:t>F.2  Most-likely scenario — assumptions and rationale</w:t>
      </w:r>
    </w:p>
    <w:p w14:paraId="7742602D" w14:textId="77777777" w:rsidR="00BE3A40" w:rsidRDefault="00000000">
      <w:pPr>
        <w:jc w:val="both"/>
      </w:pPr>
      <w:r>
        <w:rPr>
          <w:b/>
        </w:rPr>
        <w:t xml:space="preserve">Sales growth. </w:t>
      </w:r>
      <w:r>
        <w:t>Revenue growth slows from a seven-year compound rate of 14.3% (FY18-FY25) to a more sustainable trajectory. FY26 growth is set at 5%, reflecting the absorption of US tariff cost into the Americas segment (where two-thirds of US gross profit was still tariff-exposed at the start of the year) plus continuing strength in Coffee globally. FY27-FY28 growth recovers to 8% as manufacturing diversifies to 90% non-China and the higher-margin product mix expands. Growth then fades gradually to 3% by FY37, consistent with mean reversion toward the small-appliance industry CAGR of 5.9% (Grand View Research, 2025) adjusted for Breville's premium tilt. The terminal growth rate is 2.5%, in line with Australian nominal GDP and the long-term inflation target.</w:t>
      </w:r>
    </w:p>
    <w:p w14:paraId="48708B4B" w14:textId="77777777" w:rsidR="00BE3A40" w:rsidRDefault="00000000">
      <w:pPr>
        <w:jc w:val="both"/>
      </w:pPr>
      <w:r>
        <w:rPr>
          <w:b/>
        </w:rPr>
        <w:t xml:space="preserve">EBITDA margin. </w:t>
      </w:r>
      <w:r>
        <w:t>EBITDA margin is forecast to dip to 15.5% in FY26 (from 16.0% in FY25) as residual tariff cost absorbs into COGS, then expand to 17.0% steady-state from FY29 onward. Three structural drivers support the expansion. First, the shift of US sourcing to lower-cost non-China geographies. Second, operating leverage on rising scale (revenue grows from A$1.7bn to A$3.1bn over the horizon). Third, continued differentiation through new product launches (Oracle Jet, Barista Touch Impress, Luxe Brewer) that preserve premium pricing. The 17% steady-state is conservative relative to SharkNinja's 17.2% and is justifiable given Breville's lower scale.</w:t>
      </w:r>
    </w:p>
    <w:p w14:paraId="209C9A49" w14:textId="77777777" w:rsidR="00BE3A40" w:rsidRDefault="00000000">
      <w:pPr>
        <w:jc w:val="both"/>
      </w:pPr>
      <w:r>
        <w:rPr>
          <w:b/>
        </w:rPr>
        <w:t xml:space="preserve">Most-likely NPAT trajectory. </w:t>
      </w:r>
      <w:r>
        <w:t>In the most-likely scenario, NPAT grows from A$136m (FY25) to A$150m (FY26, +10%), as the lower EBITDA margin is partly offset by lower net interest expense following the continued reduction in long-term debt. From FY27 onwards NPAT compounds at approximately 7% per annum, reaching A$294m by FY37. Earnings per share, holding share count flat at 144m, rise from A$0.94 (FY25) to A$2.04 (FY37) — broadly consistent with the rate of revenue growth as margin expansion is largely offset by the rising amortisation step-up noted in Section D.</w:t>
      </w:r>
    </w:p>
    <w:p w14:paraId="32D7946C" w14:textId="77777777" w:rsidR="00BE3A40" w:rsidRDefault="00000000">
      <w:pPr>
        <w:jc w:val="both"/>
      </w:pPr>
      <w:r>
        <w:rPr>
          <w:b/>
        </w:rPr>
        <w:t xml:space="preserve">Working capital. </w:t>
      </w:r>
      <w:r>
        <w:t xml:space="preserve">Working capital normalises from 26.8% of revenue (FY25, elevated due to tariff pull-forward inventory) to 22% by FY29 and stable thereafter. The seven-year average is </w:t>
      </w:r>
      <w:r>
        <w:lastRenderedPageBreak/>
        <w:t>28% so 22% represents a meaningful efficiency improvement; this is supported by management's stated push toward more localised distribution and the unwind of pre-tariff stock through FY26-FY27.</w:t>
      </w:r>
    </w:p>
    <w:p w14:paraId="1365CC07" w14:textId="77777777" w:rsidR="00BE3A40" w:rsidRDefault="00000000">
      <w:pPr>
        <w:jc w:val="both"/>
      </w:pPr>
      <w:r>
        <w:rPr>
          <w:b/>
        </w:rPr>
        <w:t xml:space="preserve">PP&amp;E and depreciation. </w:t>
      </w:r>
      <w:r>
        <w:t>PP&amp;E plus intangibles (ex-goodwill) is held at 14% of revenue, consistent with the FY25 ratio of 14.8% and the rising trajectory of capitalised development costs (Section D.2). Depreciation and amortisation is set at 25% of opening long-term assets, reflecting the FY25 actual of 26.7%.</w:t>
      </w:r>
    </w:p>
    <w:p w14:paraId="4350E563" w14:textId="77777777" w:rsidR="00BE3A40" w:rsidRDefault="00000000">
      <w:pPr>
        <w:jc w:val="both"/>
      </w:pPr>
      <w:r>
        <w:rPr>
          <w:b/>
        </w:rPr>
        <w:t xml:space="preserve">Tax rate. </w:t>
      </w:r>
      <w:r>
        <w:t>The effective tax rate is held at 28.5%, broadly consistent with the FY25 actual (28.4%) and the Australian corporate tax rate of 30% adjusted for the modest benefit of R&amp;D incentives. Breville is a domestic taxpayer in Australia despite sourcing the majority of revenue offshore, because intellectual property, design and management functions are concentrated in Sydney.</w:t>
      </w:r>
    </w:p>
    <w:p w14:paraId="117CCD53" w14:textId="77777777" w:rsidR="00BE3A40" w:rsidRDefault="00000000">
      <w:pPr>
        <w:jc w:val="both"/>
      </w:pPr>
      <w:r>
        <w:rPr>
          <w:b/>
        </w:rPr>
        <w:t xml:space="preserve">Capital structure and dividends. </w:t>
      </w:r>
      <w:r>
        <w:t>Long-term debt remains at 30% of long-term assets, slightly below the FY25 actual of 37% reflecting the recent deleveraging trajectory (LT debt fell from A$257m in FY23 to A$93m in FY25). The dividend payout ratio is held at 40%, in line with the 38-40% range observed historically and consistent with management's stated policy.</w:t>
      </w:r>
    </w:p>
    <w:p w14:paraId="7BDDB221" w14:textId="77777777" w:rsidR="00BE3A40" w:rsidRDefault="00000000">
      <w:pPr>
        <w:spacing w:after="80"/>
        <w:jc w:val="center"/>
      </w:pPr>
      <w:r>
        <w:rPr>
          <w:noProof/>
        </w:rPr>
        <w:drawing>
          <wp:inline distT="0" distB="0" distL="0" distR="0" wp14:anchorId="4DC92BB9" wp14:editId="399F3EEF">
            <wp:extent cx="5580000" cy="240090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_f1_revenue_forecast.png"/>
                    <pic:cNvPicPr/>
                  </pic:nvPicPr>
                  <pic:blipFill>
                    <a:blip r:embed="rId10"/>
                    <a:stretch>
                      <a:fillRect/>
                    </a:stretch>
                  </pic:blipFill>
                  <pic:spPr>
                    <a:xfrm>
                      <a:off x="0" y="0"/>
                      <a:ext cx="5580000" cy="2400903"/>
                    </a:xfrm>
                    <a:prstGeom prst="rect">
                      <a:avLst/>
                    </a:prstGeom>
                  </pic:spPr>
                </pic:pic>
              </a:graphicData>
            </a:graphic>
          </wp:inline>
        </w:drawing>
      </w:r>
    </w:p>
    <w:p w14:paraId="0307990C" w14:textId="77777777" w:rsidR="00BE3A40" w:rsidRDefault="00000000">
      <w:pPr>
        <w:spacing w:after="80"/>
        <w:jc w:val="center"/>
      </w:pPr>
      <w:r>
        <w:rPr>
          <w:noProof/>
        </w:rPr>
        <w:drawing>
          <wp:inline distT="0" distB="0" distL="0" distR="0" wp14:anchorId="2D3E31CA" wp14:editId="4608D97D">
            <wp:extent cx="5580000" cy="21886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_f2_ebitda_forecast.png"/>
                    <pic:cNvPicPr/>
                  </pic:nvPicPr>
                  <pic:blipFill>
                    <a:blip r:embed="rId11"/>
                    <a:stretch>
                      <a:fillRect/>
                    </a:stretch>
                  </pic:blipFill>
                  <pic:spPr>
                    <a:xfrm>
                      <a:off x="0" y="0"/>
                      <a:ext cx="5580000" cy="2188669"/>
                    </a:xfrm>
                    <a:prstGeom prst="rect">
                      <a:avLst/>
                    </a:prstGeom>
                  </pic:spPr>
                </pic:pic>
              </a:graphicData>
            </a:graphic>
          </wp:inline>
        </w:drawing>
      </w:r>
    </w:p>
    <w:p w14:paraId="55871AFA" w14:textId="77777777" w:rsidR="00BE3A40" w:rsidRDefault="00000000">
      <w:pPr>
        <w:jc w:val="both"/>
      </w:pPr>
      <w:r>
        <w:rPr>
          <w:b/>
        </w:rPr>
        <w:lastRenderedPageBreak/>
        <w:t xml:space="preserve">FCFE bridge in the most-likely scenario. </w:t>
      </w:r>
      <w:r>
        <w:t>Free Cash Flow to Equity in FY26 is forecast at approximately A$135m, reflecting A$150m of NPAT plus A$57m of depreciation and amortisation, less around A$50m of incremental working capital investment, A$45m of incremental PP&amp;E plus intangibles, and approximately A$23m of debt repayment. From FY27 onwards, as the working capital ratio normalises and EBITDA margin expands, FCFE grows steadily to a mid-A$200m run-rate by FY30 and approaches A$300m by FY37. The cumulative FCFE over the 12-year explicit horizon is approximately A$2.8 billion in nominal terms, discounted to a present value of A$2.0 billion.</w:t>
      </w:r>
    </w:p>
    <w:p w14:paraId="3B22DCD0" w14:textId="77777777" w:rsidR="00BE3A40" w:rsidRDefault="00000000">
      <w:pPr>
        <w:pStyle w:val="Heading2"/>
      </w:pPr>
      <w:r>
        <w:t>F.3  Pessimistic scenario</w:t>
      </w:r>
    </w:p>
    <w:p w14:paraId="437DE8EF" w14:textId="77777777" w:rsidR="00BE3A40" w:rsidRDefault="00000000">
      <w:pPr>
        <w:jc w:val="both"/>
      </w:pPr>
      <w:r>
        <w:t>The pessimistic scenario tests what happens if US tariff disruption persists for longer and consumer demand for premium discretionary goods softens. Sales growth is reduced to 2% in FY26 and 3-4% across most of the forecast horizon, with terminal growth of 2.0%. EBITDA margin is set at 13.0% in FY26 (a full 300bps below the FY25 level) and recovers only to 15.0% steady-state — below the FY25 actual. Working capital remains elevated at 25% of revenue (slower inventory normalisation) and long-term debt is allowed to rise to 35% of long-term assets as the company funds bridging working capital. The economic logic of the scenario combines persistently high input costs, weak ability to pass these on to consumers, and softer demand for premium discretionary appliances as households tighten budgets. Under these assumptions, FY37 revenue reaches just A$2,395m (versus A$3,087m in the most-likely case) and NPAT compounds at only about 4% per annum.</w:t>
      </w:r>
    </w:p>
    <w:p w14:paraId="505DFCB4" w14:textId="77777777" w:rsidR="00BE3A40" w:rsidRDefault="00000000">
      <w:pPr>
        <w:pStyle w:val="Heading2"/>
      </w:pPr>
      <w:r>
        <w:t>F.4  Optimistic scenario</w:t>
      </w:r>
    </w:p>
    <w:p w14:paraId="40B4641A" w14:textId="77777777" w:rsidR="00BE3A40" w:rsidRDefault="00000000">
      <w:pPr>
        <w:jc w:val="both"/>
      </w:pPr>
      <w:r>
        <w:t>The optimistic scenario tests the upside if the manufacturing diversification programme is accretive (not just protective) and the Coffee category continues to outperform globally. FY26 growth lifts to 8%, FY27 to 11%, then fades gradually to 3%. EBITDA margin reaches 17.0% by FY26 (the FY25 level held through the tariff transition) and expands further to 19.0% steady-state as scale benefits and connected-product monetisation (Breville+, beanz.com) accrete. Working capital efficiency improves further to 20% of revenue and long-term debt is held at 25% of long-term assets. Terminal growth is 3.0%, reflecting structural global penetration of premium home coffee. FY37 revenue reaches A$3,652m and NPAT compounds at about 9.5% per annum, driven by the combination of mid-single-digit volume growth and a 200-300bps margin expansion.</w:t>
      </w:r>
    </w:p>
    <w:p w14:paraId="637103B3" w14:textId="77777777" w:rsidR="00BE3A40" w:rsidRDefault="00000000">
      <w:pPr>
        <w:jc w:val="both"/>
      </w:pPr>
      <w:r>
        <w:rPr>
          <w:b/>
        </w:rPr>
        <w:t xml:space="preserve">Scenario design and probability weighting. </w:t>
      </w:r>
      <w:r>
        <w:t xml:space="preserve">The three scenarios are designed to capture genuine uncertainty rather than to bracket the most-likely case mechanically. In practical terms, the pessimistic scenario assumes that the manufacturing diversification programme delivers slower cost savings than management expects and that Breville absorbs more of the tariff cost than it can pass through to consumers. The optimistic scenario assumes the programme delivers ahead of plan and that the connected-platform strategy (Breville+ and beanz.com) becomes a meaningful revenue contributor by FY28-FY30. In the absence of formal probability data, the most-likely scenario is treated as modal with implicit probabilities of approximately 50% (most likely), 25% (pessimistic) and 25% (optimistic). The probability-weighted intrinsic value </w:t>
      </w:r>
      <w:r>
        <w:lastRenderedPageBreak/>
        <w:t>under this distribution is approximately A$28.65 per share, broadly in line with the unweighted most-likely figure of A$28.42.</w:t>
      </w:r>
    </w:p>
    <w:p w14:paraId="01A7C418" w14:textId="77777777" w:rsidR="00BE3A40" w:rsidRDefault="00000000">
      <w:pPr>
        <w:jc w:val="both"/>
      </w:pPr>
      <w:r>
        <w:rPr>
          <w:b/>
        </w:rPr>
        <w:t xml:space="preserve">Sensitivity to forecast assumptions. </w:t>
      </w:r>
      <w:r>
        <w:t>Five drivers warrant particular sensitivity attention. First, the steady-state EBITDA margin: a 100bps change moves intrinsic value by approximately A$2.50 per share. Second, the terminal growth rate: a 50bps change moves it by approximately A$3.20. Third, the cost of equity: a 100bps change moves it by approximately A$4.50 (this is captured in the formal Section G analysis). Fourth, the working-capital normalisation pace: full normalisation to the 22% level by FY27 (rather than FY29) adds approximately A$1.20 per share. Fifth, the dividend payout ratio: a higher payout reduces retained capital but, under the FCFE method used here, does not directly change value per share because changes in distributable cash net out across discount periods. These sensitivities are tested through the three-scenario design rather than via formal Monte Carlo simulation.</w:t>
      </w:r>
    </w:p>
    <w:p w14:paraId="1C1A8CEF" w14:textId="77777777" w:rsidR="00BE3A40" w:rsidRDefault="00000000">
      <w:pPr>
        <w:pStyle w:val="Heading2"/>
      </w:pPr>
      <w:r>
        <w:t>F.5  Scenario summary</w:t>
      </w:r>
    </w:p>
    <w:p w14:paraId="419D79DA" w14:textId="77777777" w:rsidR="00BE3A40" w:rsidRDefault="00000000">
      <w:pPr>
        <w:jc w:val="both"/>
      </w:pPr>
      <w:r>
        <w:rPr>
          <w:b/>
        </w:rPr>
        <w:t xml:space="preserve">Scenario selection rationale. </w:t>
      </w:r>
      <w:r>
        <w:t>The three scenarios are not symmetric around the most-likely case. The downside scenario shaves more from steady-state EBITDA margin (300bps) than the upside adds (200bps), reflecting an asymmetric risk view: the tariff and consumer-discretionary shocks of the recent past suggest a fat left tail. The forecast horizon is held constant across scenarios so that the differences are purely driven by operating assumptions, not by changes to the terminal year placement.</w:t>
      </w:r>
    </w:p>
    <w:p w14:paraId="51587B0C" w14:textId="77777777" w:rsidR="00BE3A40" w:rsidRDefault="00000000">
      <w:pPr>
        <w:jc w:val="both"/>
      </w:pPr>
      <w:r>
        <w:t>Table F1 summarises the key forecast outputs across the three scenarios. The Excel spreadsheet (separately submitted) contains the full year-by-year projections, balance sheet build-out, FCFE derivation, and discount cash flow valuation.</w:t>
      </w:r>
    </w:p>
    <w:p w14:paraId="4A754B3C" w14:textId="77777777" w:rsidR="00BE3A40" w:rsidRDefault="00000000">
      <w:pPr>
        <w:spacing w:after="40"/>
        <w:jc w:val="both"/>
      </w:pPr>
      <w:r>
        <w:rPr>
          <w:b/>
          <w:sz w:val="20"/>
        </w:rPr>
        <w:t>Table F1: Forecast scenario summary</w:t>
      </w:r>
    </w:p>
    <w:tbl>
      <w:tblPr>
        <w:tblW w:w="0" w:type="auto"/>
        <w:jc w:val="center"/>
        <w:tblBorders>
          <w:top w:val="single" w:sz="4" w:space="0" w:color="B0B0B0"/>
          <w:left w:val="single" w:sz="4" w:space="0" w:color="B0B0B0"/>
          <w:bottom w:val="single" w:sz="4" w:space="0" w:color="B0B0B0"/>
          <w:right w:val="single" w:sz="4" w:space="0" w:color="B0B0B0"/>
          <w:insideH w:val="single" w:sz="4" w:space="0" w:color="B0B0B0"/>
          <w:insideV w:val="single" w:sz="4" w:space="0" w:color="B0B0B0"/>
        </w:tblBorders>
        <w:tblLook w:val="04A0" w:firstRow="1" w:lastRow="0" w:firstColumn="1" w:lastColumn="0" w:noHBand="0" w:noVBand="1"/>
      </w:tblPr>
      <w:tblGrid>
        <w:gridCol w:w="3118"/>
        <w:gridCol w:w="1984"/>
        <w:gridCol w:w="1984"/>
        <w:gridCol w:w="1984"/>
      </w:tblGrid>
      <w:tr w:rsidR="00BE3A40" w14:paraId="351686AA" w14:textId="77777777">
        <w:trPr>
          <w:jc w:val="center"/>
        </w:trPr>
        <w:tc>
          <w:tcPr>
            <w:tcW w:w="3118" w:type="dxa"/>
            <w:shd w:val="clear" w:color="auto" w:fill="003366"/>
            <w:tcMar>
              <w:top w:w="50" w:type="dxa"/>
              <w:left w:w="80" w:type="dxa"/>
              <w:bottom w:w="50" w:type="dxa"/>
              <w:right w:w="80" w:type="dxa"/>
            </w:tcMar>
            <w:vAlign w:val="center"/>
          </w:tcPr>
          <w:p w14:paraId="10D40867" w14:textId="77777777" w:rsidR="00BE3A40" w:rsidRDefault="00000000">
            <w:pPr>
              <w:spacing w:after="0"/>
              <w:jc w:val="center"/>
            </w:pPr>
            <w:r>
              <w:rPr>
                <w:b/>
                <w:color w:val="FFFFFF"/>
                <w:sz w:val="20"/>
              </w:rPr>
              <w:t>Metric</w:t>
            </w:r>
          </w:p>
        </w:tc>
        <w:tc>
          <w:tcPr>
            <w:tcW w:w="1984" w:type="dxa"/>
            <w:shd w:val="clear" w:color="auto" w:fill="003366"/>
            <w:tcMar>
              <w:top w:w="50" w:type="dxa"/>
              <w:left w:w="80" w:type="dxa"/>
              <w:bottom w:w="50" w:type="dxa"/>
              <w:right w:w="80" w:type="dxa"/>
            </w:tcMar>
            <w:vAlign w:val="center"/>
          </w:tcPr>
          <w:p w14:paraId="31531576" w14:textId="77777777" w:rsidR="00BE3A40" w:rsidRDefault="00000000">
            <w:pPr>
              <w:spacing w:after="0"/>
              <w:jc w:val="center"/>
            </w:pPr>
            <w:r>
              <w:rPr>
                <w:b/>
                <w:color w:val="FFFFFF"/>
                <w:sz w:val="20"/>
              </w:rPr>
              <w:t>Pessimistic</w:t>
            </w:r>
          </w:p>
        </w:tc>
        <w:tc>
          <w:tcPr>
            <w:tcW w:w="1984" w:type="dxa"/>
            <w:shd w:val="clear" w:color="auto" w:fill="003366"/>
            <w:tcMar>
              <w:top w:w="50" w:type="dxa"/>
              <w:left w:w="80" w:type="dxa"/>
              <w:bottom w:w="50" w:type="dxa"/>
              <w:right w:w="80" w:type="dxa"/>
            </w:tcMar>
            <w:vAlign w:val="center"/>
          </w:tcPr>
          <w:p w14:paraId="5B6B12A0" w14:textId="77777777" w:rsidR="00BE3A40" w:rsidRDefault="00000000">
            <w:pPr>
              <w:spacing w:after="0"/>
              <w:jc w:val="center"/>
            </w:pPr>
            <w:r>
              <w:rPr>
                <w:b/>
                <w:color w:val="FFFFFF"/>
                <w:sz w:val="20"/>
              </w:rPr>
              <w:t>Most likely</w:t>
            </w:r>
          </w:p>
        </w:tc>
        <w:tc>
          <w:tcPr>
            <w:tcW w:w="1984" w:type="dxa"/>
            <w:shd w:val="clear" w:color="auto" w:fill="003366"/>
            <w:tcMar>
              <w:top w:w="50" w:type="dxa"/>
              <w:left w:w="80" w:type="dxa"/>
              <w:bottom w:w="50" w:type="dxa"/>
              <w:right w:w="80" w:type="dxa"/>
            </w:tcMar>
            <w:vAlign w:val="center"/>
          </w:tcPr>
          <w:p w14:paraId="35B67E42" w14:textId="77777777" w:rsidR="00BE3A40" w:rsidRDefault="00000000">
            <w:pPr>
              <w:spacing w:after="0"/>
              <w:jc w:val="center"/>
            </w:pPr>
            <w:r>
              <w:rPr>
                <w:b/>
                <w:color w:val="FFFFFF"/>
                <w:sz w:val="20"/>
              </w:rPr>
              <w:t>Optimistic</w:t>
            </w:r>
          </w:p>
        </w:tc>
      </w:tr>
      <w:tr w:rsidR="00BE3A40" w14:paraId="744327AD" w14:textId="77777777">
        <w:trPr>
          <w:jc w:val="center"/>
        </w:trPr>
        <w:tc>
          <w:tcPr>
            <w:tcW w:w="3118" w:type="dxa"/>
            <w:tcMar>
              <w:top w:w="50" w:type="dxa"/>
              <w:left w:w="80" w:type="dxa"/>
              <w:bottom w:w="50" w:type="dxa"/>
              <w:right w:w="80" w:type="dxa"/>
            </w:tcMar>
            <w:vAlign w:val="center"/>
          </w:tcPr>
          <w:p w14:paraId="3C38F5AF" w14:textId="77777777" w:rsidR="00BE3A40" w:rsidRDefault="00000000">
            <w:pPr>
              <w:spacing w:after="0"/>
            </w:pPr>
            <w:r>
              <w:rPr>
                <w:b/>
                <w:sz w:val="18"/>
              </w:rPr>
              <w:t>FY26 sales growth</w:t>
            </w:r>
          </w:p>
        </w:tc>
        <w:tc>
          <w:tcPr>
            <w:tcW w:w="1984" w:type="dxa"/>
            <w:tcMar>
              <w:top w:w="50" w:type="dxa"/>
              <w:left w:w="80" w:type="dxa"/>
              <w:bottom w:w="50" w:type="dxa"/>
              <w:right w:w="80" w:type="dxa"/>
            </w:tcMar>
            <w:vAlign w:val="center"/>
          </w:tcPr>
          <w:p w14:paraId="703610D0" w14:textId="77777777" w:rsidR="00BE3A40" w:rsidRDefault="00000000">
            <w:pPr>
              <w:spacing w:after="0"/>
              <w:jc w:val="center"/>
            </w:pPr>
            <w:r>
              <w:rPr>
                <w:sz w:val="18"/>
              </w:rPr>
              <w:t>2.0%</w:t>
            </w:r>
          </w:p>
        </w:tc>
        <w:tc>
          <w:tcPr>
            <w:tcW w:w="1984" w:type="dxa"/>
            <w:tcMar>
              <w:top w:w="50" w:type="dxa"/>
              <w:left w:w="80" w:type="dxa"/>
              <w:bottom w:w="50" w:type="dxa"/>
              <w:right w:w="80" w:type="dxa"/>
            </w:tcMar>
            <w:vAlign w:val="center"/>
          </w:tcPr>
          <w:p w14:paraId="652FFE63" w14:textId="77777777" w:rsidR="00BE3A40" w:rsidRDefault="00000000">
            <w:pPr>
              <w:spacing w:after="0"/>
              <w:jc w:val="center"/>
            </w:pPr>
            <w:r>
              <w:rPr>
                <w:sz w:val="18"/>
              </w:rPr>
              <w:t>5.0%</w:t>
            </w:r>
          </w:p>
        </w:tc>
        <w:tc>
          <w:tcPr>
            <w:tcW w:w="1984" w:type="dxa"/>
            <w:tcMar>
              <w:top w:w="50" w:type="dxa"/>
              <w:left w:w="80" w:type="dxa"/>
              <w:bottom w:w="50" w:type="dxa"/>
              <w:right w:w="80" w:type="dxa"/>
            </w:tcMar>
            <w:vAlign w:val="center"/>
          </w:tcPr>
          <w:p w14:paraId="7D3EFB7F" w14:textId="77777777" w:rsidR="00BE3A40" w:rsidRDefault="00000000">
            <w:pPr>
              <w:spacing w:after="0"/>
              <w:jc w:val="center"/>
            </w:pPr>
            <w:r>
              <w:rPr>
                <w:sz w:val="18"/>
              </w:rPr>
              <w:t>8.0%</w:t>
            </w:r>
          </w:p>
        </w:tc>
      </w:tr>
      <w:tr w:rsidR="00BE3A40" w14:paraId="056D741F" w14:textId="77777777">
        <w:trPr>
          <w:jc w:val="center"/>
        </w:trPr>
        <w:tc>
          <w:tcPr>
            <w:tcW w:w="3118" w:type="dxa"/>
            <w:shd w:val="clear" w:color="auto" w:fill="F4F7FB"/>
            <w:tcMar>
              <w:top w:w="50" w:type="dxa"/>
              <w:left w:w="80" w:type="dxa"/>
              <w:bottom w:w="50" w:type="dxa"/>
              <w:right w:w="80" w:type="dxa"/>
            </w:tcMar>
            <w:vAlign w:val="center"/>
          </w:tcPr>
          <w:p w14:paraId="4F561175" w14:textId="77777777" w:rsidR="00BE3A40" w:rsidRDefault="00000000">
            <w:pPr>
              <w:spacing w:after="0"/>
            </w:pPr>
            <w:r>
              <w:rPr>
                <w:b/>
                <w:sz w:val="18"/>
              </w:rPr>
              <w:t>Steady-state EBITDA margin</w:t>
            </w:r>
          </w:p>
        </w:tc>
        <w:tc>
          <w:tcPr>
            <w:tcW w:w="1984" w:type="dxa"/>
            <w:shd w:val="clear" w:color="auto" w:fill="F4F7FB"/>
            <w:tcMar>
              <w:top w:w="50" w:type="dxa"/>
              <w:left w:w="80" w:type="dxa"/>
              <w:bottom w:w="50" w:type="dxa"/>
              <w:right w:w="80" w:type="dxa"/>
            </w:tcMar>
            <w:vAlign w:val="center"/>
          </w:tcPr>
          <w:p w14:paraId="33E887DA" w14:textId="77777777" w:rsidR="00BE3A40" w:rsidRDefault="00000000">
            <w:pPr>
              <w:spacing w:after="0"/>
              <w:jc w:val="center"/>
            </w:pPr>
            <w:r>
              <w:rPr>
                <w:sz w:val="18"/>
              </w:rPr>
              <w:t>15.0%</w:t>
            </w:r>
          </w:p>
        </w:tc>
        <w:tc>
          <w:tcPr>
            <w:tcW w:w="1984" w:type="dxa"/>
            <w:shd w:val="clear" w:color="auto" w:fill="F4F7FB"/>
            <w:tcMar>
              <w:top w:w="50" w:type="dxa"/>
              <w:left w:w="80" w:type="dxa"/>
              <w:bottom w:w="50" w:type="dxa"/>
              <w:right w:w="80" w:type="dxa"/>
            </w:tcMar>
            <w:vAlign w:val="center"/>
          </w:tcPr>
          <w:p w14:paraId="7AB08192" w14:textId="77777777" w:rsidR="00BE3A40" w:rsidRDefault="00000000">
            <w:pPr>
              <w:spacing w:after="0"/>
              <w:jc w:val="center"/>
            </w:pPr>
            <w:r>
              <w:rPr>
                <w:sz w:val="18"/>
              </w:rPr>
              <w:t>17.0%</w:t>
            </w:r>
          </w:p>
        </w:tc>
        <w:tc>
          <w:tcPr>
            <w:tcW w:w="1984" w:type="dxa"/>
            <w:shd w:val="clear" w:color="auto" w:fill="F4F7FB"/>
            <w:tcMar>
              <w:top w:w="50" w:type="dxa"/>
              <w:left w:w="80" w:type="dxa"/>
              <w:bottom w:w="50" w:type="dxa"/>
              <w:right w:w="80" w:type="dxa"/>
            </w:tcMar>
            <w:vAlign w:val="center"/>
          </w:tcPr>
          <w:p w14:paraId="6067B3E6" w14:textId="77777777" w:rsidR="00BE3A40" w:rsidRDefault="00000000">
            <w:pPr>
              <w:spacing w:after="0"/>
              <w:jc w:val="center"/>
            </w:pPr>
            <w:r>
              <w:rPr>
                <w:sz w:val="18"/>
              </w:rPr>
              <w:t>19.0%</w:t>
            </w:r>
          </w:p>
        </w:tc>
      </w:tr>
      <w:tr w:rsidR="00BE3A40" w14:paraId="0DF3A9E5" w14:textId="77777777">
        <w:trPr>
          <w:jc w:val="center"/>
        </w:trPr>
        <w:tc>
          <w:tcPr>
            <w:tcW w:w="3118" w:type="dxa"/>
            <w:tcMar>
              <w:top w:w="50" w:type="dxa"/>
              <w:left w:w="80" w:type="dxa"/>
              <w:bottom w:w="50" w:type="dxa"/>
              <w:right w:w="80" w:type="dxa"/>
            </w:tcMar>
            <w:vAlign w:val="center"/>
          </w:tcPr>
          <w:p w14:paraId="530C7C83" w14:textId="77777777" w:rsidR="00BE3A40" w:rsidRDefault="00000000">
            <w:pPr>
              <w:spacing w:after="0"/>
            </w:pPr>
            <w:r>
              <w:rPr>
                <w:b/>
                <w:sz w:val="18"/>
              </w:rPr>
              <w:t>Terminal growth rate</w:t>
            </w:r>
          </w:p>
        </w:tc>
        <w:tc>
          <w:tcPr>
            <w:tcW w:w="1984" w:type="dxa"/>
            <w:tcMar>
              <w:top w:w="50" w:type="dxa"/>
              <w:left w:w="80" w:type="dxa"/>
              <w:bottom w:w="50" w:type="dxa"/>
              <w:right w:w="80" w:type="dxa"/>
            </w:tcMar>
            <w:vAlign w:val="center"/>
          </w:tcPr>
          <w:p w14:paraId="211190B9" w14:textId="77777777" w:rsidR="00BE3A40" w:rsidRDefault="00000000">
            <w:pPr>
              <w:spacing w:after="0"/>
              <w:jc w:val="center"/>
            </w:pPr>
            <w:r>
              <w:rPr>
                <w:sz w:val="18"/>
              </w:rPr>
              <w:t>2.0%</w:t>
            </w:r>
          </w:p>
        </w:tc>
        <w:tc>
          <w:tcPr>
            <w:tcW w:w="1984" w:type="dxa"/>
            <w:tcMar>
              <w:top w:w="50" w:type="dxa"/>
              <w:left w:w="80" w:type="dxa"/>
              <w:bottom w:w="50" w:type="dxa"/>
              <w:right w:w="80" w:type="dxa"/>
            </w:tcMar>
            <w:vAlign w:val="center"/>
          </w:tcPr>
          <w:p w14:paraId="39E9C899" w14:textId="77777777" w:rsidR="00BE3A40" w:rsidRDefault="00000000">
            <w:pPr>
              <w:spacing w:after="0"/>
              <w:jc w:val="center"/>
            </w:pPr>
            <w:r>
              <w:rPr>
                <w:sz w:val="18"/>
              </w:rPr>
              <w:t>2.5%</w:t>
            </w:r>
          </w:p>
        </w:tc>
        <w:tc>
          <w:tcPr>
            <w:tcW w:w="1984" w:type="dxa"/>
            <w:tcMar>
              <w:top w:w="50" w:type="dxa"/>
              <w:left w:w="80" w:type="dxa"/>
              <w:bottom w:w="50" w:type="dxa"/>
              <w:right w:w="80" w:type="dxa"/>
            </w:tcMar>
            <w:vAlign w:val="center"/>
          </w:tcPr>
          <w:p w14:paraId="58C162AF" w14:textId="77777777" w:rsidR="00BE3A40" w:rsidRDefault="00000000">
            <w:pPr>
              <w:spacing w:after="0"/>
              <w:jc w:val="center"/>
            </w:pPr>
            <w:r>
              <w:rPr>
                <w:sz w:val="18"/>
              </w:rPr>
              <w:t>3.0%</w:t>
            </w:r>
          </w:p>
        </w:tc>
      </w:tr>
      <w:tr w:rsidR="00BE3A40" w14:paraId="38930F89" w14:textId="77777777">
        <w:trPr>
          <w:jc w:val="center"/>
        </w:trPr>
        <w:tc>
          <w:tcPr>
            <w:tcW w:w="3118" w:type="dxa"/>
            <w:shd w:val="clear" w:color="auto" w:fill="F4F7FB"/>
            <w:tcMar>
              <w:top w:w="50" w:type="dxa"/>
              <w:left w:w="80" w:type="dxa"/>
              <w:bottom w:w="50" w:type="dxa"/>
              <w:right w:w="80" w:type="dxa"/>
            </w:tcMar>
            <w:vAlign w:val="center"/>
          </w:tcPr>
          <w:p w14:paraId="57C97342" w14:textId="77777777" w:rsidR="00BE3A40" w:rsidRDefault="00000000">
            <w:pPr>
              <w:spacing w:after="0"/>
            </w:pPr>
            <w:r>
              <w:rPr>
                <w:b/>
                <w:sz w:val="18"/>
              </w:rPr>
              <w:t>FY37 revenue (A$m)</w:t>
            </w:r>
          </w:p>
        </w:tc>
        <w:tc>
          <w:tcPr>
            <w:tcW w:w="1984" w:type="dxa"/>
            <w:shd w:val="clear" w:color="auto" w:fill="F4F7FB"/>
            <w:tcMar>
              <w:top w:w="50" w:type="dxa"/>
              <w:left w:w="80" w:type="dxa"/>
              <w:bottom w:w="50" w:type="dxa"/>
              <w:right w:w="80" w:type="dxa"/>
            </w:tcMar>
            <w:vAlign w:val="center"/>
          </w:tcPr>
          <w:p w14:paraId="6657863D" w14:textId="77777777" w:rsidR="00BE3A40" w:rsidRDefault="00000000">
            <w:pPr>
              <w:spacing w:after="0"/>
              <w:jc w:val="center"/>
            </w:pPr>
            <w:r>
              <w:rPr>
                <w:sz w:val="18"/>
              </w:rPr>
              <w:t>2,395</w:t>
            </w:r>
          </w:p>
        </w:tc>
        <w:tc>
          <w:tcPr>
            <w:tcW w:w="1984" w:type="dxa"/>
            <w:shd w:val="clear" w:color="auto" w:fill="F4F7FB"/>
            <w:tcMar>
              <w:top w:w="50" w:type="dxa"/>
              <w:left w:w="80" w:type="dxa"/>
              <w:bottom w:w="50" w:type="dxa"/>
              <w:right w:w="80" w:type="dxa"/>
            </w:tcMar>
            <w:vAlign w:val="center"/>
          </w:tcPr>
          <w:p w14:paraId="46C5B524" w14:textId="77777777" w:rsidR="00BE3A40" w:rsidRDefault="00000000">
            <w:pPr>
              <w:spacing w:after="0"/>
              <w:jc w:val="center"/>
            </w:pPr>
            <w:r>
              <w:rPr>
                <w:sz w:val="18"/>
              </w:rPr>
              <w:t>3,087</w:t>
            </w:r>
          </w:p>
        </w:tc>
        <w:tc>
          <w:tcPr>
            <w:tcW w:w="1984" w:type="dxa"/>
            <w:shd w:val="clear" w:color="auto" w:fill="F4F7FB"/>
            <w:tcMar>
              <w:top w:w="50" w:type="dxa"/>
              <w:left w:w="80" w:type="dxa"/>
              <w:bottom w:w="50" w:type="dxa"/>
              <w:right w:w="80" w:type="dxa"/>
            </w:tcMar>
            <w:vAlign w:val="center"/>
          </w:tcPr>
          <w:p w14:paraId="29C2FDE5" w14:textId="77777777" w:rsidR="00BE3A40" w:rsidRDefault="00000000">
            <w:pPr>
              <w:spacing w:after="0"/>
              <w:jc w:val="center"/>
            </w:pPr>
            <w:r>
              <w:rPr>
                <w:sz w:val="18"/>
              </w:rPr>
              <w:t>3,652</w:t>
            </w:r>
          </w:p>
        </w:tc>
      </w:tr>
      <w:tr w:rsidR="00BE3A40" w14:paraId="5BFA1BEA" w14:textId="77777777">
        <w:trPr>
          <w:jc w:val="center"/>
        </w:trPr>
        <w:tc>
          <w:tcPr>
            <w:tcW w:w="3118" w:type="dxa"/>
            <w:tcMar>
              <w:top w:w="50" w:type="dxa"/>
              <w:left w:w="80" w:type="dxa"/>
              <w:bottom w:w="50" w:type="dxa"/>
              <w:right w:w="80" w:type="dxa"/>
            </w:tcMar>
            <w:vAlign w:val="center"/>
          </w:tcPr>
          <w:p w14:paraId="7CC7D056" w14:textId="77777777" w:rsidR="00BE3A40" w:rsidRDefault="00000000">
            <w:pPr>
              <w:spacing w:after="0"/>
            </w:pPr>
            <w:r>
              <w:rPr>
                <w:b/>
                <w:sz w:val="18"/>
              </w:rPr>
              <w:t>FY37 NPAT (A$m)</w:t>
            </w:r>
          </w:p>
        </w:tc>
        <w:tc>
          <w:tcPr>
            <w:tcW w:w="1984" w:type="dxa"/>
            <w:tcMar>
              <w:top w:w="50" w:type="dxa"/>
              <w:left w:w="80" w:type="dxa"/>
              <w:bottom w:w="50" w:type="dxa"/>
              <w:right w:w="80" w:type="dxa"/>
            </w:tcMar>
            <w:vAlign w:val="center"/>
          </w:tcPr>
          <w:p w14:paraId="18905DB8" w14:textId="77777777" w:rsidR="00BE3A40" w:rsidRDefault="00000000">
            <w:pPr>
              <w:spacing w:after="0"/>
              <w:jc w:val="center"/>
            </w:pPr>
            <w:r>
              <w:rPr>
                <w:sz w:val="18"/>
              </w:rPr>
              <w:t>187</w:t>
            </w:r>
          </w:p>
        </w:tc>
        <w:tc>
          <w:tcPr>
            <w:tcW w:w="1984" w:type="dxa"/>
            <w:tcMar>
              <w:top w:w="50" w:type="dxa"/>
              <w:left w:w="80" w:type="dxa"/>
              <w:bottom w:w="50" w:type="dxa"/>
              <w:right w:w="80" w:type="dxa"/>
            </w:tcMar>
            <w:vAlign w:val="center"/>
          </w:tcPr>
          <w:p w14:paraId="756813AA" w14:textId="77777777" w:rsidR="00BE3A40" w:rsidRDefault="00000000">
            <w:pPr>
              <w:spacing w:after="0"/>
              <w:jc w:val="center"/>
            </w:pPr>
            <w:r>
              <w:rPr>
                <w:sz w:val="18"/>
              </w:rPr>
              <w:t>294</w:t>
            </w:r>
          </w:p>
        </w:tc>
        <w:tc>
          <w:tcPr>
            <w:tcW w:w="1984" w:type="dxa"/>
            <w:tcMar>
              <w:top w:w="50" w:type="dxa"/>
              <w:left w:w="80" w:type="dxa"/>
              <w:bottom w:w="50" w:type="dxa"/>
              <w:right w:w="80" w:type="dxa"/>
            </w:tcMar>
            <w:vAlign w:val="center"/>
          </w:tcPr>
          <w:p w14:paraId="34C746F6" w14:textId="77777777" w:rsidR="00BE3A40" w:rsidRDefault="00000000">
            <w:pPr>
              <w:spacing w:after="0"/>
              <w:jc w:val="center"/>
            </w:pPr>
            <w:r>
              <w:rPr>
                <w:sz w:val="18"/>
              </w:rPr>
              <w:t>401</w:t>
            </w:r>
          </w:p>
        </w:tc>
      </w:tr>
      <w:tr w:rsidR="00BE3A40" w14:paraId="64C0EAAC" w14:textId="77777777">
        <w:trPr>
          <w:jc w:val="center"/>
        </w:trPr>
        <w:tc>
          <w:tcPr>
            <w:tcW w:w="3118" w:type="dxa"/>
            <w:shd w:val="clear" w:color="auto" w:fill="F4F7FB"/>
            <w:tcMar>
              <w:top w:w="50" w:type="dxa"/>
              <w:left w:w="80" w:type="dxa"/>
              <w:bottom w:w="50" w:type="dxa"/>
              <w:right w:w="80" w:type="dxa"/>
            </w:tcMar>
            <w:vAlign w:val="center"/>
          </w:tcPr>
          <w:p w14:paraId="250DC3F7" w14:textId="77777777" w:rsidR="00BE3A40" w:rsidRDefault="00000000">
            <w:pPr>
              <w:spacing w:after="0"/>
            </w:pPr>
            <w:r>
              <w:rPr>
                <w:b/>
                <w:sz w:val="18"/>
              </w:rPr>
              <w:t>NPAT 12-year CAGR</w:t>
            </w:r>
          </w:p>
        </w:tc>
        <w:tc>
          <w:tcPr>
            <w:tcW w:w="1984" w:type="dxa"/>
            <w:shd w:val="clear" w:color="auto" w:fill="F4F7FB"/>
            <w:tcMar>
              <w:top w:w="50" w:type="dxa"/>
              <w:left w:w="80" w:type="dxa"/>
              <w:bottom w:w="50" w:type="dxa"/>
              <w:right w:w="80" w:type="dxa"/>
            </w:tcMar>
            <w:vAlign w:val="center"/>
          </w:tcPr>
          <w:p w14:paraId="1C239A0C" w14:textId="77777777" w:rsidR="00BE3A40" w:rsidRDefault="00000000">
            <w:pPr>
              <w:spacing w:after="0"/>
              <w:jc w:val="center"/>
            </w:pPr>
            <w:r>
              <w:rPr>
                <w:sz w:val="18"/>
              </w:rPr>
              <w:t>~4%</w:t>
            </w:r>
          </w:p>
        </w:tc>
        <w:tc>
          <w:tcPr>
            <w:tcW w:w="1984" w:type="dxa"/>
            <w:shd w:val="clear" w:color="auto" w:fill="F4F7FB"/>
            <w:tcMar>
              <w:top w:w="50" w:type="dxa"/>
              <w:left w:w="80" w:type="dxa"/>
              <w:bottom w:w="50" w:type="dxa"/>
              <w:right w:w="80" w:type="dxa"/>
            </w:tcMar>
            <w:vAlign w:val="center"/>
          </w:tcPr>
          <w:p w14:paraId="1CD9847F" w14:textId="77777777" w:rsidR="00BE3A40" w:rsidRDefault="00000000">
            <w:pPr>
              <w:spacing w:after="0"/>
              <w:jc w:val="center"/>
            </w:pPr>
            <w:r>
              <w:rPr>
                <w:sz w:val="18"/>
              </w:rPr>
              <w:t>~7%</w:t>
            </w:r>
          </w:p>
        </w:tc>
        <w:tc>
          <w:tcPr>
            <w:tcW w:w="1984" w:type="dxa"/>
            <w:shd w:val="clear" w:color="auto" w:fill="F4F7FB"/>
            <w:tcMar>
              <w:top w:w="50" w:type="dxa"/>
              <w:left w:w="80" w:type="dxa"/>
              <w:bottom w:w="50" w:type="dxa"/>
              <w:right w:w="80" w:type="dxa"/>
            </w:tcMar>
            <w:vAlign w:val="center"/>
          </w:tcPr>
          <w:p w14:paraId="5FBCB036" w14:textId="77777777" w:rsidR="00BE3A40" w:rsidRDefault="00000000">
            <w:pPr>
              <w:spacing w:after="0"/>
              <w:jc w:val="center"/>
            </w:pPr>
            <w:r>
              <w:rPr>
                <w:sz w:val="18"/>
              </w:rPr>
              <w:t>~9%</w:t>
            </w:r>
          </w:p>
        </w:tc>
      </w:tr>
      <w:tr w:rsidR="00BE3A40" w14:paraId="0526BFD1" w14:textId="77777777">
        <w:trPr>
          <w:jc w:val="center"/>
        </w:trPr>
        <w:tc>
          <w:tcPr>
            <w:tcW w:w="3118" w:type="dxa"/>
            <w:tcMar>
              <w:top w:w="50" w:type="dxa"/>
              <w:left w:w="80" w:type="dxa"/>
              <w:bottom w:w="50" w:type="dxa"/>
              <w:right w:w="80" w:type="dxa"/>
            </w:tcMar>
            <w:vAlign w:val="center"/>
          </w:tcPr>
          <w:p w14:paraId="57F7A744" w14:textId="77777777" w:rsidR="00BE3A40" w:rsidRDefault="00000000">
            <w:pPr>
              <w:spacing w:after="0"/>
            </w:pPr>
            <w:r>
              <w:rPr>
                <w:b/>
                <w:sz w:val="18"/>
              </w:rPr>
              <w:t>Intrinsic value per share (A$)</w:t>
            </w:r>
          </w:p>
        </w:tc>
        <w:tc>
          <w:tcPr>
            <w:tcW w:w="1984" w:type="dxa"/>
            <w:tcMar>
              <w:top w:w="50" w:type="dxa"/>
              <w:left w:w="80" w:type="dxa"/>
              <w:bottom w:w="50" w:type="dxa"/>
              <w:right w:w="80" w:type="dxa"/>
            </w:tcMar>
            <w:vAlign w:val="center"/>
          </w:tcPr>
          <w:p w14:paraId="52D8D34A" w14:textId="77777777" w:rsidR="00BE3A40" w:rsidRDefault="00000000">
            <w:pPr>
              <w:spacing w:after="0"/>
              <w:jc w:val="center"/>
            </w:pPr>
            <w:r>
              <w:rPr>
                <w:sz w:val="18"/>
              </w:rPr>
              <w:t>19.81</w:t>
            </w:r>
          </w:p>
        </w:tc>
        <w:tc>
          <w:tcPr>
            <w:tcW w:w="1984" w:type="dxa"/>
            <w:tcMar>
              <w:top w:w="50" w:type="dxa"/>
              <w:left w:w="80" w:type="dxa"/>
              <w:bottom w:w="50" w:type="dxa"/>
              <w:right w:w="80" w:type="dxa"/>
            </w:tcMar>
            <w:vAlign w:val="center"/>
          </w:tcPr>
          <w:p w14:paraId="632E93D3" w14:textId="77777777" w:rsidR="00BE3A40" w:rsidRDefault="00000000">
            <w:pPr>
              <w:spacing w:after="0"/>
              <w:jc w:val="center"/>
            </w:pPr>
            <w:r>
              <w:rPr>
                <w:sz w:val="18"/>
              </w:rPr>
              <w:t>28.42</w:t>
            </w:r>
          </w:p>
        </w:tc>
        <w:tc>
          <w:tcPr>
            <w:tcW w:w="1984" w:type="dxa"/>
            <w:tcMar>
              <w:top w:w="50" w:type="dxa"/>
              <w:left w:w="80" w:type="dxa"/>
              <w:bottom w:w="50" w:type="dxa"/>
              <w:right w:w="80" w:type="dxa"/>
            </w:tcMar>
            <w:vAlign w:val="center"/>
          </w:tcPr>
          <w:p w14:paraId="0CE9EC9B" w14:textId="77777777" w:rsidR="00BE3A40" w:rsidRDefault="00000000">
            <w:pPr>
              <w:spacing w:after="0"/>
              <w:jc w:val="center"/>
            </w:pPr>
            <w:r>
              <w:rPr>
                <w:sz w:val="18"/>
              </w:rPr>
              <w:t>37.93</w:t>
            </w:r>
          </w:p>
        </w:tc>
      </w:tr>
    </w:tbl>
    <w:p w14:paraId="3A996FAC" w14:textId="77777777" w:rsidR="00BE3A40" w:rsidRDefault="00000000">
      <w:r>
        <w:br w:type="page"/>
      </w:r>
    </w:p>
    <w:p w14:paraId="2B5DDC8C" w14:textId="77777777" w:rsidR="00BE3A40" w:rsidRDefault="00000000">
      <w:pPr>
        <w:pStyle w:val="Heading1"/>
      </w:pPr>
      <w:r>
        <w:lastRenderedPageBreak/>
        <w:t>Section G — Risk Analysis and Cost of Capital</w:t>
      </w:r>
    </w:p>
    <w:p w14:paraId="4AE2B024" w14:textId="77777777" w:rsidR="00BE3A40" w:rsidRDefault="00000000">
      <w:pPr>
        <w:pStyle w:val="Heading2"/>
      </w:pPr>
      <w:r>
        <w:t>G.1  Climate change risk</w:t>
      </w:r>
    </w:p>
    <w:p w14:paraId="758C2147" w14:textId="77777777" w:rsidR="00BE3A40" w:rsidRDefault="00000000">
      <w:pPr>
        <w:jc w:val="both"/>
      </w:pPr>
      <w:r>
        <w:t>Climate-related risk for Breville falls into three categories per Lecture 10's physical/transition/litigation framework. Each is currently low-to-moderate in magnitude but warrants explicit forecast treatment.</w:t>
      </w:r>
    </w:p>
    <w:p w14:paraId="1BE59695" w14:textId="77777777" w:rsidR="00BE3A40" w:rsidRDefault="00000000">
      <w:pPr>
        <w:jc w:val="both"/>
      </w:pPr>
      <w:r>
        <w:rPr>
          <w:b/>
        </w:rPr>
        <w:t xml:space="preserve">Physical risk. </w:t>
      </w:r>
      <w:r>
        <w:t>Breville's contract manufacturing is concentrated in coastal locations in southern China, Vietnam and Mexico — all exposed to typhoons, flooding and heatwaves that can disrupt production. The FY25 Sustainability Report identifies climate-related supply chain disruption as a principal physical risk. The mitigant is the active diversification programme already discussed (China sourcing has fallen from 85% to 20% of US gross profit dollars in three years).</w:t>
      </w:r>
    </w:p>
    <w:p w14:paraId="51CE9A49" w14:textId="77777777" w:rsidR="00BE3A40" w:rsidRDefault="00000000">
      <w:pPr>
        <w:jc w:val="both"/>
      </w:pPr>
      <w:r>
        <w:rPr>
          <w:b/>
        </w:rPr>
        <w:t xml:space="preserve">Transition risk. </w:t>
      </w:r>
      <w:r>
        <w:t>Australia's new climate-related financial disclosure regime (AASB S2, mandatory from 1 January 2025 for Group 1 entities) requires Scope 1, 2 and 3 emissions disclosure plus scenario analysis. Breville has voluntarily disclosed under TCFD since FY22 and established a Sustainability Committee chaired by Sally Herman. Carbon-pricing exposure is modest given Breville does not directly operate energy-intensive manufacturing, but Scope 3 emissions (which include consumer use of appliances) are material and could affect future product design and the appeal of high-wattage premium appliances in jurisdictions that price residential electricity consumption.</w:t>
      </w:r>
    </w:p>
    <w:p w14:paraId="7E01B948" w14:textId="77777777" w:rsidR="00BE3A40" w:rsidRDefault="00000000">
      <w:pPr>
        <w:jc w:val="both"/>
      </w:pPr>
      <w:r>
        <w:rPr>
          <w:b/>
        </w:rPr>
        <w:t xml:space="preserve">Litigation and reputational risk. </w:t>
      </w:r>
      <w:r>
        <w:t>Misleading "green" claims (greenwashing) are now a focus of the ACCC. Breville's consumer marketing has emphasised durability and repairability, both of which are verifiable and unlikely to expose the company to greenwashing complaints.</w:t>
      </w:r>
    </w:p>
    <w:p w14:paraId="232E0C66" w14:textId="77777777" w:rsidR="00BE3A40" w:rsidRDefault="00000000">
      <w:pPr>
        <w:jc w:val="both"/>
      </w:pPr>
      <w:r>
        <w:t>In the valuation model, climate risk is reflected indirectly in three places. The terminal growth rate is held to a modest 2.5% in the most-likely case. Capex is elevated to 14% of revenue (versus a historical 9-10%) to fund supply chain diversification. And the market-derived cost of equity used in the discounting already incorporates the systematic component of climate risk.</w:t>
      </w:r>
    </w:p>
    <w:p w14:paraId="389E67AB" w14:textId="77777777" w:rsidR="00BE3A40" w:rsidRDefault="00000000">
      <w:pPr>
        <w:pStyle w:val="Heading2"/>
      </w:pPr>
      <w:r>
        <w:t>G.2  Geopolitical risk</w:t>
      </w:r>
    </w:p>
    <w:p w14:paraId="2FFBD0F5" w14:textId="77777777" w:rsidR="00BE3A40" w:rsidRDefault="00000000">
      <w:pPr>
        <w:jc w:val="both"/>
      </w:pPr>
      <w:r>
        <w:t>The main geopolitical risk for Breville is the trade conflict between the United States and China. This matters because more than half of Breville's Global Product revenue is sold in the Americas, and historically the bulk of those products were manufactured in China.</w:t>
      </w:r>
    </w:p>
    <w:p w14:paraId="6A8C0591" w14:textId="77777777" w:rsidR="00BE3A40" w:rsidRDefault="00000000">
      <w:pPr>
        <w:jc w:val="both"/>
      </w:pPr>
      <w:r>
        <w:t>As documented in Project 1, the US weighted-average effective tariff rate rose from around 3% in early 2025 to a peak of 28% in April 2025, before easing to a 14-16% range by year-end. Goods imported from China have faced the steepest penalties. For a US-facing manufacturer like Breville, an increase of this size feeds directly into landed cost and either compresses gross margin or has to be passed through to retail price.</w:t>
      </w:r>
    </w:p>
    <w:p w14:paraId="18BE7F38" w14:textId="77777777" w:rsidR="00BE3A40" w:rsidRDefault="00000000">
      <w:pPr>
        <w:jc w:val="both"/>
      </w:pPr>
      <w:r>
        <w:t xml:space="preserve">Breville has responded with an accelerated manufacturing diversification programme. By the end of 1H FY26, 80% of its US gross profit dollars were sourced outside China, up from just 15% three years earlier in FY22. As a result, the tariff impact on FY26 first-half gross margin was contained to roughly 1.3 percentage points. Had the company still been 85% China-sourced, the </w:t>
      </w:r>
      <w:r>
        <w:lastRenderedPageBreak/>
        <w:t>same tariff schedule would have produced an impact several times larger and would likely have required material price increases that could have hurt volume.</w:t>
      </w:r>
    </w:p>
    <w:p w14:paraId="5F233E44" w14:textId="77777777" w:rsidR="00BE3A40" w:rsidRDefault="00000000">
      <w:pPr>
        <w:jc w:val="both"/>
      </w:pPr>
      <w:r>
        <w:t>The forward-looking risk is twofold. First, US tariff rates remain a political variable and could rise again under further trade action. Second, even with successful diversification, the new sourcing geographies of Vietnam, Thailand and Mexico are themselves exposed to future US trade policy, particularly if the focus of US tariff strategy widens beyond China. The valuation model captures this risk through the pessimistic scenario, which holds EBITDA margin to 15% versus 17% in the most-likely case to reflect incomplete cost pass-through and slower demand recovery.</w:t>
      </w:r>
    </w:p>
    <w:p w14:paraId="66189603" w14:textId="77777777" w:rsidR="00BE3A40" w:rsidRDefault="00000000">
      <w:pPr>
        <w:pStyle w:val="Heading2"/>
      </w:pPr>
      <w:r>
        <w:t>G.3  Cost of capital — CAPM</w:t>
      </w:r>
    </w:p>
    <w:p w14:paraId="583FCCBA" w14:textId="77777777" w:rsidR="00BE3A40" w:rsidRDefault="00000000">
      <w:pPr>
        <w:jc w:val="both"/>
      </w:pPr>
      <w:r>
        <w:t>The cost of equity is estimated using the Capital Asset Pricing Model: re = rf + β × ERP. Inputs are sourced consistent with Lecture 10 and the Coles valuation template.</w:t>
      </w:r>
    </w:p>
    <w:p w14:paraId="229DDB08" w14:textId="77777777" w:rsidR="00BE3A40" w:rsidRDefault="00000000">
      <w:pPr>
        <w:spacing w:after="40"/>
        <w:jc w:val="both"/>
      </w:pPr>
      <w:r>
        <w:rPr>
          <w:b/>
          <w:sz w:val="20"/>
        </w:rPr>
        <w:t>Table G1: CAPM inputs and cost of equity</w:t>
      </w:r>
    </w:p>
    <w:tbl>
      <w:tblPr>
        <w:tblW w:w="0" w:type="auto"/>
        <w:jc w:val="center"/>
        <w:tblBorders>
          <w:top w:val="single" w:sz="4" w:space="0" w:color="B0B0B0"/>
          <w:left w:val="single" w:sz="4" w:space="0" w:color="B0B0B0"/>
          <w:bottom w:val="single" w:sz="4" w:space="0" w:color="B0B0B0"/>
          <w:right w:val="single" w:sz="4" w:space="0" w:color="B0B0B0"/>
          <w:insideH w:val="single" w:sz="4" w:space="0" w:color="B0B0B0"/>
          <w:insideV w:val="single" w:sz="4" w:space="0" w:color="B0B0B0"/>
        </w:tblBorders>
        <w:tblLook w:val="04A0" w:firstRow="1" w:lastRow="0" w:firstColumn="1" w:lastColumn="0" w:noHBand="0" w:noVBand="1"/>
      </w:tblPr>
      <w:tblGrid>
        <w:gridCol w:w="3118"/>
        <w:gridCol w:w="1984"/>
        <w:gridCol w:w="3969"/>
      </w:tblGrid>
      <w:tr w:rsidR="00BE3A40" w14:paraId="0ECBE119" w14:textId="77777777">
        <w:trPr>
          <w:jc w:val="center"/>
        </w:trPr>
        <w:tc>
          <w:tcPr>
            <w:tcW w:w="3118" w:type="dxa"/>
            <w:shd w:val="clear" w:color="auto" w:fill="003366"/>
            <w:tcMar>
              <w:top w:w="50" w:type="dxa"/>
              <w:left w:w="80" w:type="dxa"/>
              <w:bottom w:w="50" w:type="dxa"/>
              <w:right w:w="80" w:type="dxa"/>
            </w:tcMar>
            <w:vAlign w:val="center"/>
          </w:tcPr>
          <w:p w14:paraId="1CE8851F" w14:textId="77777777" w:rsidR="00BE3A40" w:rsidRDefault="00000000">
            <w:pPr>
              <w:spacing w:after="0"/>
              <w:jc w:val="center"/>
            </w:pPr>
            <w:r>
              <w:rPr>
                <w:b/>
                <w:color w:val="FFFFFF"/>
                <w:sz w:val="20"/>
              </w:rPr>
              <w:t>Input</w:t>
            </w:r>
          </w:p>
        </w:tc>
        <w:tc>
          <w:tcPr>
            <w:tcW w:w="1984" w:type="dxa"/>
            <w:shd w:val="clear" w:color="auto" w:fill="003366"/>
            <w:tcMar>
              <w:top w:w="50" w:type="dxa"/>
              <w:left w:w="80" w:type="dxa"/>
              <w:bottom w:w="50" w:type="dxa"/>
              <w:right w:w="80" w:type="dxa"/>
            </w:tcMar>
            <w:vAlign w:val="center"/>
          </w:tcPr>
          <w:p w14:paraId="1F47A71E" w14:textId="77777777" w:rsidR="00BE3A40" w:rsidRDefault="00000000">
            <w:pPr>
              <w:spacing w:after="0"/>
              <w:jc w:val="center"/>
            </w:pPr>
            <w:r>
              <w:rPr>
                <w:b/>
                <w:color w:val="FFFFFF"/>
                <w:sz w:val="20"/>
              </w:rPr>
              <w:t>Value</w:t>
            </w:r>
          </w:p>
        </w:tc>
        <w:tc>
          <w:tcPr>
            <w:tcW w:w="3969" w:type="dxa"/>
            <w:shd w:val="clear" w:color="auto" w:fill="003366"/>
            <w:tcMar>
              <w:top w:w="50" w:type="dxa"/>
              <w:left w:w="80" w:type="dxa"/>
              <w:bottom w:w="50" w:type="dxa"/>
              <w:right w:w="80" w:type="dxa"/>
            </w:tcMar>
            <w:vAlign w:val="center"/>
          </w:tcPr>
          <w:p w14:paraId="1AE2EDDC" w14:textId="77777777" w:rsidR="00BE3A40" w:rsidRDefault="00000000">
            <w:pPr>
              <w:spacing w:after="0"/>
              <w:jc w:val="center"/>
            </w:pPr>
            <w:r>
              <w:rPr>
                <w:b/>
                <w:color w:val="FFFFFF"/>
                <w:sz w:val="20"/>
              </w:rPr>
              <w:t>Source / rationale</w:t>
            </w:r>
          </w:p>
        </w:tc>
      </w:tr>
      <w:tr w:rsidR="00BE3A40" w14:paraId="6B16E64B" w14:textId="77777777">
        <w:trPr>
          <w:jc w:val="center"/>
        </w:trPr>
        <w:tc>
          <w:tcPr>
            <w:tcW w:w="3118" w:type="dxa"/>
            <w:tcMar>
              <w:top w:w="50" w:type="dxa"/>
              <w:left w:w="80" w:type="dxa"/>
              <w:bottom w:w="50" w:type="dxa"/>
              <w:right w:w="80" w:type="dxa"/>
            </w:tcMar>
            <w:vAlign w:val="center"/>
          </w:tcPr>
          <w:p w14:paraId="3E873D32" w14:textId="77777777" w:rsidR="00BE3A40" w:rsidRDefault="00000000">
            <w:pPr>
              <w:spacing w:after="0"/>
            </w:pPr>
            <w:r>
              <w:rPr>
                <w:b/>
                <w:sz w:val="19"/>
              </w:rPr>
              <w:t>Risk-free rate (rf)</w:t>
            </w:r>
          </w:p>
        </w:tc>
        <w:tc>
          <w:tcPr>
            <w:tcW w:w="1984" w:type="dxa"/>
            <w:tcMar>
              <w:top w:w="50" w:type="dxa"/>
              <w:left w:w="80" w:type="dxa"/>
              <w:bottom w:w="50" w:type="dxa"/>
              <w:right w:w="80" w:type="dxa"/>
            </w:tcMar>
            <w:vAlign w:val="center"/>
          </w:tcPr>
          <w:p w14:paraId="65437B15" w14:textId="77777777" w:rsidR="00BE3A40" w:rsidRDefault="00000000">
            <w:pPr>
              <w:spacing w:after="0"/>
              <w:jc w:val="center"/>
            </w:pPr>
            <w:r>
              <w:rPr>
                <w:sz w:val="19"/>
              </w:rPr>
              <w:t>4.3%</w:t>
            </w:r>
          </w:p>
        </w:tc>
        <w:tc>
          <w:tcPr>
            <w:tcW w:w="3969" w:type="dxa"/>
            <w:tcMar>
              <w:top w:w="50" w:type="dxa"/>
              <w:left w:w="80" w:type="dxa"/>
              <w:bottom w:w="50" w:type="dxa"/>
              <w:right w:w="80" w:type="dxa"/>
            </w:tcMar>
            <w:vAlign w:val="center"/>
          </w:tcPr>
          <w:p w14:paraId="68D5BF40" w14:textId="77777777" w:rsidR="00BE3A40" w:rsidRDefault="00000000">
            <w:pPr>
              <w:spacing w:after="0"/>
            </w:pPr>
            <w:r>
              <w:rPr>
                <w:sz w:val="19"/>
              </w:rPr>
              <w:t>10-year Australian Government Bond yield, May 2026</w:t>
            </w:r>
          </w:p>
        </w:tc>
      </w:tr>
      <w:tr w:rsidR="00BE3A40" w14:paraId="2C9F8F09" w14:textId="77777777">
        <w:trPr>
          <w:jc w:val="center"/>
        </w:trPr>
        <w:tc>
          <w:tcPr>
            <w:tcW w:w="3118" w:type="dxa"/>
            <w:shd w:val="clear" w:color="auto" w:fill="F4F7FB"/>
            <w:tcMar>
              <w:top w:w="50" w:type="dxa"/>
              <w:left w:w="80" w:type="dxa"/>
              <w:bottom w:w="50" w:type="dxa"/>
              <w:right w:w="80" w:type="dxa"/>
            </w:tcMar>
            <w:vAlign w:val="center"/>
          </w:tcPr>
          <w:p w14:paraId="688DC899" w14:textId="77777777" w:rsidR="00BE3A40" w:rsidRDefault="00000000">
            <w:pPr>
              <w:spacing w:after="0"/>
            </w:pPr>
            <w:r>
              <w:rPr>
                <w:b/>
                <w:sz w:val="19"/>
              </w:rPr>
              <w:t>Beta (β)</w:t>
            </w:r>
          </w:p>
        </w:tc>
        <w:tc>
          <w:tcPr>
            <w:tcW w:w="1984" w:type="dxa"/>
            <w:shd w:val="clear" w:color="auto" w:fill="F4F7FB"/>
            <w:tcMar>
              <w:top w:w="50" w:type="dxa"/>
              <w:left w:w="80" w:type="dxa"/>
              <w:bottom w:w="50" w:type="dxa"/>
              <w:right w:w="80" w:type="dxa"/>
            </w:tcMar>
            <w:vAlign w:val="center"/>
          </w:tcPr>
          <w:p w14:paraId="22559171" w14:textId="77777777" w:rsidR="00BE3A40" w:rsidRDefault="00000000">
            <w:pPr>
              <w:spacing w:after="0"/>
              <w:jc w:val="center"/>
            </w:pPr>
            <w:r>
              <w:rPr>
                <w:sz w:val="19"/>
              </w:rPr>
              <w:t>0.78</w:t>
            </w:r>
          </w:p>
        </w:tc>
        <w:tc>
          <w:tcPr>
            <w:tcW w:w="3969" w:type="dxa"/>
            <w:shd w:val="clear" w:color="auto" w:fill="F4F7FB"/>
            <w:tcMar>
              <w:top w:w="50" w:type="dxa"/>
              <w:left w:w="80" w:type="dxa"/>
              <w:bottom w:w="50" w:type="dxa"/>
              <w:right w:w="80" w:type="dxa"/>
            </w:tcMar>
            <w:vAlign w:val="center"/>
          </w:tcPr>
          <w:p w14:paraId="47B95931" w14:textId="77777777" w:rsidR="00BE3A40" w:rsidRDefault="00000000">
            <w:pPr>
              <w:spacing w:after="0"/>
            </w:pPr>
            <w:r>
              <w:rPr>
                <w:sz w:val="19"/>
              </w:rPr>
              <w:t>DatAnalysis Premium (Morningstar), as at 26 May 2026</w:t>
            </w:r>
          </w:p>
        </w:tc>
      </w:tr>
      <w:tr w:rsidR="00BE3A40" w14:paraId="2A9B7E4B" w14:textId="77777777">
        <w:trPr>
          <w:jc w:val="center"/>
        </w:trPr>
        <w:tc>
          <w:tcPr>
            <w:tcW w:w="3118" w:type="dxa"/>
            <w:tcMar>
              <w:top w:w="50" w:type="dxa"/>
              <w:left w:w="80" w:type="dxa"/>
              <w:bottom w:w="50" w:type="dxa"/>
              <w:right w:w="80" w:type="dxa"/>
            </w:tcMar>
            <w:vAlign w:val="center"/>
          </w:tcPr>
          <w:p w14:paraId="003F04C5" w14:textId="77777777" w:rsidR="00BE3A40" w:rsidRDefault="00000000">
            <w:pPr>
              <w:spacing w:after="0"/>
            </w:pPr>
            <w:r>
              <w:rPr>
                <w:b/>
                <w:sz w:val="19"/>
              </w:rPr>
              <w:t>Equity Risk Premium (ERP)</w:t>
            </w:r>
          </w:p>
        </w:tc>
        <w:tc>
          <w:tcPr>
            <w:tcW w:w="1984" w:type="dxa"/>
            <w:tcMar>
              <w:top w:w="50" w:type="dxa"/>
              <w:left w:w="80" w:type="dxa"/>
              <w:bottom w:w="50" w:type="dxa"/>
              <w:right w:w="80" w:type="dxa"/>
            </w:tcMar>
            <w:vAlign w:val="center"/>
          </w:tcPr>
          <w:p w14:paraId="0CA6AB66" w14:textId="77777777" w:rsidR="00BE3A40" w:rsidRDefault="00000000">
            <w:pPr>
              <w:spacing w:after="0"/>
              <w:jc w:val="center"/>
            </w:pPr>
            <w:r>
              <w:rPr>
                <w:sz w:val="19"/>
              </w:rPr>
              <w:t>6.0%</w:t>
            </w:r>
          </w:p>
        </w:tc>
        <w:tc>
          <w:tcPr>
            <w:tcW w:w="3969" w:type="dxa"/>
            <w:tcMar>
              <w:top w:w="50" w:type="dxa"/>
              <w:left w:w="80" w:type="dxa"/>
              <w:bottom w:w="50" w:type="dxa"/>
              <w:right w:w="80" w:type="dxa"/>
            </w:tcMar>
            <w:vAlign w:val="center"/>
          </w:tcPr>
          <w:p w14:paraId="710A1383" w14:textId="77777777" w:rsidR="00BE3A40" w:rsidRDefault="00000000">
            <w:pPr>
              <w:spacing w:after="0"/>
            </w:pPr>
            <w:r>
              <w:rPr>
                <w:sz w:val="19"/>
              </w:rPr>
              <w:t>Australian ERP per ACX3150 Lecture 10</w:t>
            </w:r>
          </w:p>
        </w:tc>
      </w:tr>
      <w:tr w:rsidR="00BE3A40" w14:paraId="157E78FA" w14:textId="77777777">
        <w:trPr>
          <w:jc w:val="center"/>
        </w:trPr>
        <w:tc>
          <w:tcPr>
            <w:tcW w:w="3118" w:type="dxa"/>
            <w:shd w:val="clear" w:color="auto" w:fill="F4F7FB"/>
            <w:tcMar>
              <w:top w:w="50" w:type="dxa"/>
              <w:left w:w="80" w:type="dxa"/>
              <w:bottom w:w="50" w:type="dxa"/>
              <w:right w:w="80" w:type="dxa"/>
            </w:tcMar>
            <w:vAlign w:val="center"/>
          </w:tcPr>
          <w:p w14:paraId="2A48DB97" w14:textId="77777777" w:rsidR="00BE3A40" w:rsidRDefault="00000000">
            <w:pPr>
              <w:spacing w:after="0"/>
            </w:pPr>
            <w:r>
              <w:rPr>
                <w:b/>
                <w:sz w:val="19"/>
              </w:rPr>
              <w:t>Cost of equity (re)</w:t>
            </w:r>
          </w:p>
        </w:tc>
        <w:tc>
          <w:tcPr>
            <w:tcW w:w="1984" w:type="dxa"/>
            <w:shd w:val="clear" w:color="auto" w:fill="F4F7FB"/>
            <w:tcMar>
              <w:top w:w="50" w:type="dxa"/>
              <w:left w:w="80" w:type="dxa"/>
              <w:bottom w:w="50" w:type="dxa"/>
              <w:right w:w="80" w:type="dxa"/>
            </w:tcMar>
            <w:vAlign w:val="center"/>
          </w:tcPr>
          <w:p w14:paraId="481CE940" w14:textId="77777777" w:rsidR="00BE3A40" w:rsidRDefault="00000000">
            <w:pPr>
              <w:spacing w:after="0"/>
              <w:jc w:val="center"/>
            </w:pPr>
            <w:r>
              <w:rPr>
                <w:sz w:val="19"/>
              </w:rPr>
              <w:t>8.98%</w:t>
            </w:r>
          </w:p>
        </w:tc>
        <w:tc>
          <w:tcPr>
            <w:tcW w:w="3969" w:type="dxa"/>
            <w:shd w:val="clear" w:color="auto" w:fill="F4F7FB"/>
            <w:tcMar>
              <w:top w:w="50" w:type="dxa"/>
              <w:left w:w="80" w:type="dxa"/>
              <w:bottom w:w="50" w:type="dxa"/>
              <w:right w:w="80" w:type="dxa"/>
            </w:tcMar>
            <w:vAlign w:val="center"/>
          </w:tcPr>
          <w:p w14:paraId="182D1B56" w14:textId="77777777" w:rsidR="00BE3A40" w:rsidRDefault="00000000">
            <w:pPr>
              <w:spacing w:after="0"/>
            </w:pPr>
            <w:r>
              <w:rPr>
                <w:sz w:val="19"/>
              </w:rPr>
              <w:t>= 4.3% + 0.78 × 6.0%</w:t>
            </w:r>
          </w:p>
        </w:tc>
      </w:tr>
    </w:tbl>
    <w:p w14:paraId="2FF3D448" w14:textId="77777777" w:rsidR="00BE3A40" w:rsidRDefault="00000000">
      <w:pPr>
        <w:jc w:val="both"/>
      </w:pPr>
      <w:r>
        <w:t>A Beta of 0.78 indicates Breville is less volatile than the broader Australian market, which is intuitive given the established brand, recurring consumer demand for premium kitchen appliances, and the conservative balance sheet (Section E). The industry beta on the same DatAnalysis report is 0.84, only slightly higher. The resulting cost of equity of 8.98% is applied to FCFE in all three scenarios; the same rate is used in each scenario because the systematic risk of the underlying business is essentially invariant across the three assumed paths.</w:t>
      </w:r>
    </w:p>
    <w:p w14:paraId="3823903E" w14:textId="77777777" w:rsidR="00BE3A40" w:rsidRDefault="00000000">
      <w:r>
        <w:br w:type="page"/>
      </w:r>
    </w:p>
    <w:p w14:paraId="47617C4E" w14:textId="77777777" w:rsidR="00BE3A40" w:rsidRDefault="00000000">
      <w:pPr>
        <w:pStyle w:val="Heading1"/>
      </w:pPr>
      <w:r>
        <w:lastRenderedPageBreak/>
        <w:t>Section H — Valuation and Conclusion</w:t>
      </w:r>
    </w:p>
    <w:p w14:paraId="01EA97C1" w14:textId="77777777" w:rsidR="00BE3A40" w:rsidRDefault="00000000">
      <w:pPr>
        <w:pStyle w:val="Heading2"/>
      </w:pPr>
      <w:r>
        <w:t>H.1  Valuation results</w:t>
      </w:r>
    </w:p>
    <w:p w14:paraId="1FCC6B4E" w14:textId="77777777" w:rsidR="00BE3A40" w:rsidRDefault="00000000">
      <w:pPr>
        <w:jc w:val="both"/>
      </w:pPr>
      <w:r>
        <w:t>The three scenarios produce a wide range of intrinsic values per share, reflecting genuine uncertainty around the medium-term tariff and growth environment (Figure H1). Under the most-likely assumptions, Breville is valued at A$28.42 per share, against the closing price of A$29.57 on 26 May 2026 — approximately 4% below market. The pessimistic and optimistic scenarios value the company at A$19.81 and A$37.93 respectively, implying that the market price is broadly midway between the optimistic and most-likely cases.</w:t>
      </w:r>
    </w:p>
    <w:p w14:paraId="003D5EEB" w14:textId="77777777" w:rsidR="00BE3A40" w:rsidRDefault="00000000">
      <w:pPr>
        <w:spacing w:after="80"/>
        <w:jc w:val="center"/>
      </w:pPr>
      <w:r>
        <w:rPr>
          <w:noProof/>
        </w:rPr>
        <w:drawing>
          <wp:inline distT="0" distB="0" distL="0" distR="0" wp14:anchorId="5C8C78B5" wp14:editId="13FFB1F7">
            <wp:extent cx="5400000" cy="22540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_h1_valuation.png"/>
                    <pic:cNvPicPr/>
                  </pic:nvPicPr>
                  <pic:blipFill>
                    <a:blip r:embed="rId12"/>
                    <a:stretch>
                      <a:fillRect/>
                    </a:stretch>
                  </pic:blipFill>
                  <pic:spPr>
                    <a:xfrm>
                      <a:off x="0" y="0"/>
                      <a:ext cx="5400000" cy="2254083"/>
                    </a:xfrm>
                    <a:prstGeom prst="rect">
                      <a:avLst/>
                    </a:prstGeom>
                  </pic:spPr>
                </pic:pic>
              </a:graphicData>
            </a:graphic>
          </wp:inline>
        </w:drawing>
      </w:r>
    </w:p>
    <w:p w14:paraId="4D6EFDBD" w14:textId="77777777" w:rsidR="00BE3A40" w:rsidRDefault="00000000">
      <w:pPr>
        <w:spacing w:after="40"/>
        <w:jc w:val="both"/>
      </w:pPr>
      <w:r>
        <w:rPr>
          <w:b/>
          <w:sz w:val="20"/>
        </w:rPr>
        <w:t>Table H1: Valuation summary across scenarios</w:t>
      </w:r>
    </w:p>
    <w:tbl>
      <w:tblPr>
        <w:tblW w:w="0" w:type="auto"/>
        <w:jc w:val="center"/>
        <w:tblBorders>
          <w:top w:val="single" w:sz="4" w:space="0" w:color="B0B0B0"/>
          <w:left w:val="single" w:sz="4" w:space="0" w:color="B0B0B0"/>
          <w:bottom w:val="single" w:sz="4" w:space="0" w:color="B0B0B0"/>
          <w:right w:val="single" w:sz="4" w:space="0" w:color="B0B0B0"/>
          <w:insideH w:val="single" w:sz="4" w:space="0" w:color="B0B0B0"/>
          <w:insideV w:val="single" w:sz="4" w:space="0" w:color="B0B0B0"/>
        </w:tblBorders>
        <w:tblLook w:val="04A0" w:firstRow="1" w:lastRow="0" w:firstColumn="1" w:lastColumn="0" w:noHBand="0" w:noVBand="1"/>
      </w:tblPr>
      <w:tblGrid>
        <w:gridCol w:w="1984"/>
        <w:gridCol w:w="1587"/>
        <w:gridCol w:w="1587"/>
        <w:gridCol w:w="1701"/>
        <w:gridCol w:w="1984"/>
      </w:tblGrid>
      <w:tr w:rsidR="00BE3A40" w14:paraId="050F1CE7" w14:textId="77777777">
        <w:trPr>
          <w:jc w:val="center"/>
        </w:trPr>
        <w:tc>
          <w:tcPr>
            <w:tcW w:w="1984" w:type="dxa"/>
            <w:shd w:val="clear" w:color="auto" w:fill="003366"/>
            <w:tcMar>
              <w:top w:w="50" w:type="dxa"/>
              <w:left w:w="80" w:type="dxa"/>
              <w:bottom w:w="50" w:type="dxa"/>
              <w:right w:w="80" w:type="dxa"/>
            </w:tcMar>
            <w:vAlign w:val="center"/>
          </w:tcPr>
          <w:p w14:paraId="3609277C" w14:textId="77777777" w:rsidR="00BE3A40" w:rsidRDefault="00000000">
            <w:pPr>
              <w:spacing w:after="0"/>
              <w:jc w:val="center"/>
            </w:pPr>
            <w:r>
              <w:rPr>
                <w:b/>
                <w:color w:val="FFFFFF"/>
                <w:sz w:val="20"/>
              </w:rPr>
              <w:t>Scenario</w:t>
            </w:r>
          </w:p>
        </w:tc>
        <w:tc>
          <w:tcPr>
            <w:tcW w:w="1587" w:type="dxa"/>
            <w:shd w:val="clear" w:color="auto" w:fill="003366"/>
            <w:tcMar>
              <w:top w:w="50" w:type="dxa"/>
              <w:left w:w="80" w:type="dxa"/>
              <w:bottom w:w="50" w:type="dxa"/>
              <w:right w:w="80" w:type="dxa"/>
            </w:tcMar>
            <w:vAlign w:val="center"/>
          </w:tcPr>
          <w:p w14:paraId="183C9086" w14:textId="77777777" w:rsidR="00BE3A40" w:rsidRDefault="00000000">
            <w:pPr>
              <w:spacing w:after="0"/>
              <w:jc w:val="center"/>
            </w:pPr>
            <w:r>
              <w:rPr>
                <w:b/>
                <w:color w:val="FFFFFF"/>
                <w:sz w:val="20"/>
              </w:rPr>
              <w:t>PV FCFE</w:t>
            </w:r>
          </w:p>
        </w:tc>
        <w:tc>
          <w:tcPr>
            <w:tcW w:w="1587" w:type="dxa"/>
            <w:shd w:val="clear" w:color="auto" w:fill="003366"/>
            <w:tcMar>
              <w:top w:w="50" w:type="dxa"/>
              <w:left w:w="80" w:type="dxa"/>
              <w:bottom w:w="50" w:type="dxa"/>
              <w:right w:w="80" w:type="dxa"/>
            </w:tcMar>
            <w:vAlign w:val="center"/>
          </w:tcPr>
          <w:p w14:paraId="66811B4D" w14:textId="77777777" w:rsidR="00BE3A40" w:rsidRDefault="00000000">
            <w:pPr>
              <w:spacing w:after="0"/>
              <w:jc w:val="center"/>
            </w:pPr>
            <w:r>
              <w:rPr>
                <w:b/>
                <w:color w:val="FFFFFF"/>
                <w:sz w:val="20"/>
              </w:rPr>
              <w:t>PV Terminal</w:t>
            </w:r>
          </w:p>
        </w:tc>
        <w:tc>
          <w:tcPr>
            <w:tcW w:w="1701" w:type="dxa"/>
            <w:shd w:val="clear" w:color="auto" w:fill="003366"/>
            <w:tcMar>
              <w:top w:w="50" w:type="dxa"/>
              <w:left w:w="80" w:type="dxa"/>
              <w:bottom w:w="50" w:type="dxa"/>
              <w:right w:w="80" w:type="dxa"/>
            </w:tcMar>
            <w:vAlign w:val="center"/>
          </w:tcPr>
          <w:p w14:paraId="020142C7" w14:textId="77777777" w:rsidR="00BE3A40" w:rsidRDefault="00000000">
            <w:pPr>
              <w:spacing w:after="0"/>
              <w:jc w:val="center"/>
            </w:pPr>
            <w:r>
              <w:rPr>
                <w:b/>
                <w:color w:val="FFFFFF"/>
                <w:sz w:val="20"/>
              </w:rPr>
              <w:t>Total equity</w:t>
            </w:r>
          </w:p>
        </w:tc>
        <w:tc>
          <w:tcPr>
            <w:tcW w:w="1984" w:type="dxa"/>
            <w:shd w:val="clear" w:color="auto" w:fill="003366"/>
            <w:tcMar>
              <w:top w:w="50" w:type="dxa"/>
              <w:left w:w="80" w:type="dxa"/>
              <w:bottom w:w="50" w:type="dxa"/>
              <w:right w:w="80" w:type="dxa"/>
            </w:tcMar>
            <w:vAlign w:val="center"/>
          </w:tcPr>
          <w:p w14:paraId="056B6BB1" w14:textId="77777777" w:rsidR="00BE3A40" w:rsidRDefault="00000000">
            <w:pPr>
              <w:spacing w:after="0"/>
              <w:jc w:val="center"/>
            </w:pPr>
            <w:r>
              <w:rPr>
                <w:b/>
                <w:color w:val="FFFFFF"/>
                <w:sz w:val="20"/>
              </w:rPr>
              <w:t>Per share</w:t>
            </w:r>
          </w:p>
        </w:tc>
      </w:tr>
      <w:tr w:rsidR="00BE3A40" w14:paraId="4D456A1D" w14:textId="77777777">
        <w:trPr>
          <w:jc w:val="center"/>
        </w:trPr>
        <w:tc>
          <w:tcPr>
            <w:tcW w:w="1984" w:type="dxa"/>
            <w:tcMar>
              <w:top w:w="50" w:type="dxa"/>
              <w:left w:w="80" w:type="dxa"/>
              <w:bottom w:w="50" w:type="dxa"/>
              <w:right w:w="80" w:type="dxa"/>
            </w:tcMar>
            <w:vAlign w:val="center"/>
          </w:tcPr>
          <w:p w14:paraId="2FD48BD9" w14:textId="77777777" w:rsidR="00BE3A40" w:rsidRDefault="00000000">
            <w:pPr>
              <w:spacing w:after="0"/>
            </w:pPr>
            <w:r>
              <w:rPr>
                <w:b/>
                <w:sz w:val="19"/>
              </w:rPr>
              <w:t>Pessimistic</w:t>
            </w:r>
          </w:p>
        </w:tc>
        <w:tc>
          <w:tcPr>
            <w:tcW w:w="1587" w:type="dxa"/>
            <w:tcMar>
              <w:top w:w="50" w:type="dxa"/>
              <w:left w:w="80" w:type="dxa"/>
              <w:bottom w:w="50" w:type="dxa"/>
              <w:right w:w="80" w:type="dxa"/>
            </w:tcMar>
            <w:vAlign w:val="center"/>
          </w:tcPr>
          <w:p w14:paraId="0805C86C" w14:textId="77777777" w:rsidR="00BE3A40" w:rsidRDefault="00000000">
            <w:pPr>
              <w:spacing w:after="0"/>
              <w:jc w:val="center"/>
            </w:pPr>
            <w:r>
              <w:rPr>
                <w:sz w:val="19"/>
              </w:rPr>
              <w:t>A$1,495m</w:t>
            </w:r>
          </w:p>
        </w:tc>
        <w:tc>
          <w:tcPr>
            <w:tcW w:w="1587" w:type="dxa"/>
            <w:tcMar>
              <w:top w:w="50" w:type="dxa"/>
              <w:left w:w="80" w:type="dxa"/>
              <w:bottom w:w="50" w:type="dxa"/>
              <w:right w:w="80" w:type="dxa"/>
            </w:tcMar>
            <w:vAlign w:val="center"/>
          </w:tcPr>
          <w:p w14:paraId="60E699D8" w14:textId="77777777" w:rsidR="00BE3A40" w:rsidRDefault="00000000">
            <w:pPr>
              <w:spacing w:after="0"/>
              <w:jc w:val="center"/>
            </w:pPr>
            <w:r>
              <w:rPr>
                <w:sz w:val="19"/>
              </w:rPr>
              <w:t>A$1,358m</w:t>
            </w:r>
          </w:p>
        </w:tc>
        <w:tc>
          <w:tcPr>
            <w:tcW w:w="1701" w:type="dxa"/>
            <w:tcMar>
              <w:top w:w="50" w:type="dxa"/>
              <w:left w:w="80" w:type="dxa"/>
              <w:bottom w:w="50" w:type="dxa"/>
              <w:right w:w="80" w:type="dxa"/>
            </w:tcMar>
            <w:vAlign w:val="center"/>
          </w:tcPr>
          <w:p w14:paraId="09A8DFAB" w14:textId="77777777" w:rsidR="00BE3A40" w:rsidRDefault="00000000">
            <w:pPr>
              <w:spacing w:after="0"/>
              <w:jc w:val="center"/>
            </w:pPr>
            <w:r>
              <w:rPr>
                <w:sz w:val="19"/>
              </w:rPr>
              <w:t>A$2,852m</w:t>
            </w:r>
          </w:p>
        </w:tc>
        <w:tc>
          <w:tcPr>
            <w:tcW w:w="1984" w:type="dxa"/>
            <w:tcMar>
              <w:top w:w="50" w:type="dxa"/>
              <w:left w:w="80" w:type="dxa"/>
              <w:bottom w:w="50" w:type="dxa"/>
              <w:right w:w="80" w:type="dxa"/>
            </w:tcMar>
            <w:vAlign w:val="center"/>
          </w:tcPr>
          <w:p w14:paraId="2E9961B0" w14:textId="77777777" w:rsidR="00BE3A40" w:rsidRDefault="00000000">
            <w:pPr>
              <w:spacing w:after="0"/>
              <w:jc w:val="center"/>
            </w:pPr>
            <w:r>
              <w:rPr>
                <w:sz w:val="19"/>
              </w:rPr>
              <w:t>A$19.81</w:t>
            </w:r>
          </w:p>
        </w:tc>
      </w:tr>
      <w:tr w:rsidR="00BE3A40" w14:paraId="1F13E178" w14:textId="77777777">
        <w:trPr>
          <w:jc w:val="center"/>
        </w:trPr>
        <w:tc>
          <w:tcPr>
            <w:tcW w:w="1984" w:type="dxa"/>
            <w:shd w:val="clear" w:color="auto" w:fill="F4F7FB"/>
            <w:tcMar>
              <w:top w:w="50" w:type="dxa"/>
              <w:left w:w="80" w:type="dxa"/>
              <w:bottom w:w="50" w:type="dxa"/>
              <w:right w:w="80" w:type="dxa"/>
            </w:tcMar>
            <w:vAlign w:val="center"/>
          </w:tcPr>
          <w:p w14:paraId="7B04B7D1" w14:textId="77777777" w:rsidR="00BE3A40" w:rsidRDefault="00000000">
            <w:pPr>
              <w:spacing w:after="0"/>
            </w:pPr>
            <w:r>
              <w:rPr>
                <w:b/>
                <w:sz w:val="19"/>
              </w:rPr>
              <w:t>Most likely</w:t>
            </w:r>
          </w:p>
        </w:tc>
        <w:tc>
          <w:tcPr>
            <w:tcW w:w="1587" w:type="dxa"/>
            <w:shd w:val="clear" w:color="auto" w:fill="F4F7FB"/>
            <w:tcMar>
              <w:top w:w="50" w:type="dxa"/>
              <w:left w:w="80" w:type="dxa"/>
              <w:bottom w:w="50" w:type="dxa"/>
              <w:right w:w="80" w:type="dxa"/>
            </w:tcMar>
            <w:vAlign w:val="center"/>
          </w:tcPr>
          <w:p w14:paraId="7F0CD298" w14:textId="77777777" w:rsidR="00BE3A40" w:rsidRDefault="00000000">
            <w:pPr>
              <w:spacing w:after="0"/>
              <w:jc w:val="center"/>
            </w:pPr>
            <w:r>
              <w:rPr>
                <w:sz w:val="19"/>
              </w:rPr>
              <w:t>A$1,965m</w:t>
            </w:r>
          </w:p>
        </w:tc>
        <w:tc>
          <w:tcPr>
            <w:tcW w:w="1587" w:type="dxa"/>
            <w:shd w:val="clear" w:color="auto" w:fill="F4F7FB"/>
            <w:tcMar>
              <w:top w:w="50" w:type="dxa"/>
              <w:left w:w="80" w:type="dxa"/>
              <w:bottom w:w="50" w:type="dxa"/>
              <w:right w:w="80" w:type="dxa"/>
            </w:tcMar>
            <w:vAlign w:val="center"/>
          </w:tcPr>
          <w:p w14:paraId="29F81339" w14:textId="77777777" w:rsidR="00BE3A40" w:rsidRDefault="00000000">
            <w:pPr>
              <w:spacing w:after="0"/>
              <w:jc w:val="center"/>
            </w:pPr>
            <w:r>
              <w:rPr>
                <w:sz w:val="19"/>
              </w:rPr>
              <w:t>A$2,127m</w:t>
            </w:r>
          </w:p>
        </w:tc>
        <w:tc>
          <w:tcPr>
            <w:tcW w:w="1701" w:type="dxa"/>
            <w:shd w:val="clear" w:color="auto" w:fill="F4F7FB"/>
            <w:tcMar>
              <w:top w:w="50" w:type="dxa"/>
              <w:left w:w="80" w:type="dxa"/>
              <w:bottom w:w="50" w:type="dxa"/>
              <w:right w:w="80" w:type="dxa"/>
            </w:tcMar>
            <w:vAlign w:val="center"/>
          </w:tcPr>
          <w:p w14:paraId="2D062AE1" w14:textId="77777777" w:rsidR="00BE3A40" w:rsidRDefault="00000000">
            <w:pPr>
              <w:spacing w:after="0"/>
              <w:jc w:val="center"/>
            </w:pPr>
            <w:r>
              <w:rPr>
                <w:sz w:val="19"/>
              </w:rPr>
              <w:t>A$4,092m</w:t>
            </w:r>
          </w:p>
        </w:tc>
        <w:tc>
          <w:tcPr>
            <w:tcW w:w="1984" w:type="dxa"/>
            <w:shd w:val="clear" w:color="auto" w:fill="F4F7FB"/>
            <w:tcMar>
              <w:top w:w="50" w:type="dxa"/>
              <w:left w:w="80" w:type="dxa"/>
              <w:bottom w:w="50" w:type="dxa"/>
              <w:right w:w="80" w:type="dxa"/>
            </w:tcMar>
            <w:vAlign w:val="center"/>
          </w:tcPr>
          <w:p w14:paraId="60A7C3EA" w14:textId="77777777" w:rsidR="00BE3A40" w:rsidRDefault="00000000">
            <w:pPr>
              <w:spacing w:after="0"/>
              <w:jc w:val="center"/>
            </w:pPr>
            <w:r>
              <w:rPr>
                <w:sz w:val="19"/>
              </w:rPr>
              <w:t>A$28.42</w:t>
            </w:r>
          </w:p>
        </w:tc>
      </w:tr>
      <w:tr w:rsidR="00BE3A40" w14:paraId="24BFDB67" w14:textId="77777777">
        <w:trPr>
          <w:jc w:val="center"/>
        </w:trPr>
        <w:tc>
          <w:tcPr>
            <w:tcW w:w="1984" w:type="dxa"/>
            <w:tcMar>
              <w:top w:w="50" w:type="dxa"/>
              <w:left w:w="80" w:type="dxa"/>
              <w:bottom w:w="50" w:type="dxa"/>
              <w:right w:w="80" w:type="dxa"/>
            </w:tcMar>
            <w:vAlign w:val="center"/>
          </w:tcPr>
          <w:p w14:paraId="58BD7CED" w14:textId="77777777" w:rsidR="00BE3A40" w:rsidRDefault="00000000">
            <w:pPr>
              <w:spacing w:after="0"/>
            </w:pPr>
            <w:r>
              <w:rPr>
                <w:b/>
                <w:sz w:val="19"/>
              </w:rPr>
              <w:t>Optimistic</w:t>
            </w:r>
          </w:p>
        </w:tc>
        <w:tc>
          <w:tcPr>
            <w:tcW w:w="1587" w:type="dxa"/>
            <w:tcMar>
              <w:top w:w="50" w:type="dxa"/>
              <w:left w:w="80" w:type="dxa"/>
              <w:bottom w:w="50" w:type="dxa"/>
              <w:right w:w="80" w:type="dxa"/>
            </w:tcMar>
            <w:vAlign w:val="center"/>
          </w:tcPr>
          <w:p w14:paraId="786E831C" w14:textId="77777777" w:rsidR="00BE3A40" w:rsidRDefault="00000000">
            <w:pPr>
              <w:spacing w:after="0"/>
              <w:jc w:val="center"/>
            </w:pPr>
            <w:r>
              <w:rPr>
                <w:sz w:val="19"/>
              </w:rPr>
              <w:t>A$2,417m</w:t>
            </w:r>
          </w:p>
        </w:tc>
        <w:tc>
          <w:tcPr>
            <w:tcW w:w="1587" w:type="dxa"/>
            <w:tcMar>
              <w:top w:w="50" w:type="dxa"/>
              <w:left w:w="80" w:type="dxa"/>
              <w:bottom w:w="50" w:type="dxa"/>
              <w:right w:w="80" w:type="dxa"/>
            </w:tcMar>
            <w:vAlign w:val="center"/>
          </w:tcPr>
          <w:p w14:paraId="42A8C268" w14:textId="77777777" w:rsidR="00BE3A40" w:rsidRDefault="00000000">
            <w:pPr>
              <w:spacing w:after="0"/>
              <w:jc w:val="center"/>
            </w:pPr>
            <w:r>
              <w:rPr>
                <w:sz w:val="19"/>
              </w:rPr>
              <w:t>A$3,044m</w:t>
            </w:r>
          </w:p>
        </w:tc>
        <w:tc>
          <w:tcPr>
            <w:tcW w:w="1701" w:type="dxa"/>
            <w:tcMar>
              <w:top w:w="50" w:type="dxa"/>
              <w:left w:w="80" w:type="dxa"/>
              <w:bottom w:w="50" w:type="dxa"/>
              <w:right w:w="80" w:type="dxa"/>
            </w:tcMar>
            <w:vAlign w:val="center"/>
          </w:tcPr>
          <w:p w14:paraId="5F36E5B9" w14:textId="77777777" w:rsidR="00BE3A40" w:rsidRDefault="00000000">
            <w:pPr>
              <w:spacing w:after="0"/>
              <w:jc w:val="center"/>
            </w:pPr>
            <w:r>
              <w:rPr>
                <w:sz w:val="19"/>
              </w:rPr>
              <w:t>A$5,461m</w:t>
            </w:r>
          </w:p>
        </w:tc>
        <w:tc>
          <w:tcPr>
            <w:tcW w:w="1984" w:type="dxa"/>
            <w:tcMar>
              <w:top w:w="50" w:type="dxa"/>
              <w:left w:w="80" w:type="dxa"/>
              <w:bottom w:w="50" w:type="dxa"/>
              <w:right w:w="80" w:type="dxa"/>
            </w:tcMar>
            <w:vAlign w:val="center"/>
          </w:tcPr>
          <w:p w14:paraId="5817D128" w14:textId="77777777" w:rsidR="00BE3A40" w:rsidRDefault="00000000">
            <w:pPr>
              <w:spacing w:after="0"/>
              <w:jc w:val="center"/>
            </w:pPr>
            <w:r>
              <w:rPr>
                <w:sz w:val="19"/>
              </w:rPr>
              <w:t>A$37.93</w:t>
            </w:r>
          </w:p>
        </w:tc>
      </w:tr>
    </w:tbl>
    <w:p w14:paraId="6F50B929" w14:textId="77777777" w:rsidR="00BE3A40" w:rsidRDefault="00000000">
      <w:pPr>
        <w:jc w:val="both"/>
      </w:pPr>
      <w:r>
        <w:t>The terminal value contributes between 48% (pessimistic) and 56% (optimistic) of total equity value, an appropriately balanced reliance on near-term cash flows. The valuation is most sensitive to two inputs: the steady-state EBITDA margin and the terminal growth rate. A 100bps reduction in the steady-state EBITDA margin (from 17% to 16%) reduces most-likely value per share by approximately A$2.50. A 50bps reduction in terminal growth (from 2.5% to 2.0%) reduces it by approximately A$3.20. The Beta is also influential: a 0.1 increase (from 0.78 to 0.88) lifts the cost of equity by 60bps and reduces value per share by approximately A$2.70.</w:t>
      </w:r>
    </w:p>
    <w:p w14:paraId="06DC4353" w14:textId="77777777" w:rsidR="00BE3A40" w:rsidRDefault="00000000">
      <w:pPr>
        <w:pStyle w:val="Heading2"/>
      </w:pPr>
      <w:r>
        <w:t>H.2  Recommendation</w:t>
      </w:r>
    </w:p>
    <w:p w14:paraId="4B0F6A25" w14:textId="77777777" w:rsidR="00BE3A40" w:rsidRDefault="00000000">
      <w:pPr>
        <w:jc w:val="both"/>
      </w:pPr>
      <w:r>
        <w:rPr>
          <w:b/>
          <w:color w:val="D97606"/>
        </w:rPr>
        <w:t xml:space="preserve">Recommendation: HOLD. </w:t>
      </w:r>
      <w:r>
        <w:t xml:space="preserve">The most-likely intrinsic value of A$28.42 is approximately 4% below the closing price of A$29.57 on 26 May 2026 — within the typical band of HOLD given the inherent uncertainty in any DCF valuation. The pessimistic scenario implies a SELL (market 49% above intrinsic) and the optimistic scenario implies a BUY (market 22% below intrinsic), so investor positioning ultimately depends on the subjective probability weight assigned to each scenario. Investors who attach more than approximately 50% probability to the optimistic case </w:t>
      </w:r>
      <w:r>
        <w:lastRenderedPageBreak/>
        <w:t>should add to positions; those who weight the pessimistic case heavily should reduce. The analyst consensus average target of approximately A$33-37 (Investing.com, 14 analysts) is consistent with something between the most-likely and optimistic cases, broadly aligning with the HOLD-to-BUY range.</w:t>
      </w:r>
    </w:p>
    <w:p w14:paraId="2967E09D" w14:textId="77777777" w:rsidR="00BE3A40" w:rsidRDefault="00000000">
      <w:pPr>
        <w:jc w:val="both"/>
      </w:pPr>
      <w:r>
        <w:t>The key catalysts that would shift the balance toward BUY are: (i) confirmation that the FY27 manufacturing diversification target of 90% non-China is on track without cost overruns, (ii) acceleration of the Coffee category in EMEA and APAC, and (iii) monetisation of the Breville+ connected-platform strategy. Conversely, a re-escalation of US-China tariff measures, a downturn in US discretionary consumer spending, or evidence of NRV write-downs on the tariff pull-forward inventory would push the recommendation toward SELL.</w:t>
      </w:r>
    </w:p>
    <w:p w14:paraId="1120B257" w14:textId="77777777" w:rsidR="00BE3A40" w:rsidRDefault="00000000">
      <w:r>
        <w:br w:type="page"/>
      </w:r>
    </w:p>
    <w:p w14:paraId="2E667C23" w14:textId="77777777" w:rsidR="00BE3A40" w:rsidRDefault="00000000">
      <w:pPr>
        <w:pStyle w:val="Heading1"/>
      </w:pPr>
      <w:r>
        <w:lastRenderedPageBreak/>
        <w:t>References / Data sources</w:t>
      </w:r>
    </w:p>
    <w:p w14:paraId="2CB51DF6" w14:textId="77777777" w:rsidR="00BE3A40" w:rsidRDefault="00000000">
      <w:pPr>
        <w:spacing w:after="160"/>
        <w:jc w:val="both"/>
      </w:pPr>
      <w:r>
        <w:rPr>
          <w:i/>
          <w:sz w:val="18"/>
        </w:rPr>
        <w:t>(Reference list — not counted toward word limit, per assignment brief.)</w:t>
      </w:r>
    </w:p>
    <w:p w14:paraId="3B4B38A4" w14:textId="77777777" w:rsidR="00BE3A40" w:rsidRDefault="00000000">
      <w:pPr>
        <w:spacing w:after="60"/>
        <w:ind w:left="340" w:hanging="340"/>
      </w:pPr>
      <w:r>
        <w:rPr>
          <w:sz w:val="18"/>
        </w:rPr>
        <w:t>Breville Group Limited (2025), Annual Report — Year Ended 30 June 2025, including Appendix 4E, Directors' Report, Operating and Financial Review, Remuneration Report, Corporate Governance Statement and Sustainability Report. ASX release 20 August 2025.</w:t>
      </w:r>
    </w:p>
    <w:p w14:paraId="4FC8AFFD" w14:textId="77777777" w:rsidR="00BE3A40" w:rsidRDefault="00000000">
      <w:pPr>
        <w:spacing w:after="60"/>
        <w:ind w:left="340" w:hanging="340"/>
      </w:pPr>
      <w:r>
        <w:rPr>
          <w:sz w:val="18"/>
        </w:rPr>
        <w:t>Breville Group Limited (2026), Half-Year Ended 31 December 2025 — Investor Presentation and Report Announcement. ASX releases 12 February 2026.</w:t>
      </w:r>
    </w:p>
    <w:p w14:paraId="61145087" w14:textId="77777777" w:rsidR="00BE3A40" w:rsidRDefault="00000000">
      <w:pPr>
        <w:spacing w:after="60"/>
        <w:ind w:left="340" w:hanging="340"/>
      </w:pPr>
      <w:r>
        <w:rPr>
          <w:sz w:val="18"/>
        </w:rPr>
        <w:t>DatAnalysis Premium / Morningstar (2026), Breville Group Limited (BRG) Full Company Report and Risk Measures, accessed 26 May 2026.</w:t>
      </w:r>
    </w:p>
    <w:p w14:paraId="63624027" w14:textId="77777777" w:rsidR="00BE3A40" w:rsidRDefault="00000000">
      <w:pPr>
        <w:spacing w:after="60"/>
        <w:ind w:left="340" w:hanging="340"/>
      </w:pPr>
      <w:r>
        <w:rPr>
          <w:sz w:val="18"/>
        </w:rPr>
        <w:t>De'Longhi S.p.A. (2025), Annual Report 2024 and Q4 2024 Earnings Call Transcript, accessed via Yahoo Finance (BIT:DLG) and Investing.com, March 2025.</w:t>
      </w:r>
    </w:p>
    <w:p w14:paraId="4B4414B3" w14:textId="77777777" w:rsidR="00BE3A40" w:rsidRDefault="00000000">
      <w:pPr>
        <w:spacing w:after="60"/>
        <w:ind w:left="340" w:hanging="340"/>
      </w:pPr>
      <w:r>
        <w:rPr>
          <w:sz w:val="18"/>
        </w:rPr>
        <w:t>Grand View Research (2025), Small Kitchen Appliances Market Size, Industry Report 2024-2030.</w:t>
      </w:r>
    </w:p>
    <w:p w14:paraId="0DDAEC86" w14:textId="77777777" w:rsidR="00BE3A40" w:rsidRDefault="00000000">
      <w:pPr>
        <w:spacing w:after="60"/>
        <w:ind w:left="340" w:hanging="340"/>
      </w:pPr>
      <w:r>
        <w:rPr>
          <w:sz w:val="18"/>
        </w:rPr>
        <w:t>Investing.com (2025), Breville Group Stock Forecast &amp; Price Target (analyst consensus).</w:t>
      </w:r>
    </w:p>
    <w:p w14:paraId="22B08DD3" w14:textId="77777777" w:rsidR="00BE3A40" w:rsidRDefault="00000000">
      <w:pPr>
        <w:spacing w:after="60"/>
        <w:ind w:left="340" w:hanging="340"/>
      </w:pPr>
      <w:r>
        <w:rPr>
          <w:sz w:val="18"/>
        </w:rPr>
        <w:t>Klein, A. (2002), "Audit committee, board of director characteristics and earnings management", Journal of Accounting and Economics, 33(3).</w:t>
      </w:r>
    </w:p>
    <w:p w14:paraId="6A3D9385" w14:textId="77777777" w:rsidR="00BE3A40" w:rsidRDefault="00000000">
      <w:pPr>
        <w:spacing w:after="60"/>
        <w:ind w:left="340" w:hanging="340"/>
      </w:pPr>
      <w:r>
        <w:rPr>
          <w:sz w:val="18"/>
        </w:rPr>
        <w:t>Morningstar (2025), Breville Group Ltd (BRG) — equity research, narrow economic moat.</w:t>
      </w:r>
    </w:p>
    <w:p w14:paraId="5751342D" w14:textId="77777777" w:rsidR="00BE3A40" w:rsidRDefault="00000000">
      <w:pPr>
        <w:spacing w:after="60"/>
        <w:ind w:left="340" w:hanging="340"/>
      </w:pPr>
      <w:r>
        <w:rPr>
          <w:sz w:val="18"/>
        </w:rPr>
        <w:t>Palepu, K., Healy, P., Bernard, V., Wright, S., Bradbury, M. and Lee, P. (2020), Business Analysis and Valuation: Using Financial Statements, Asia Pacific edition (3rd ed.).</w:t>
      </w:r>
    </w:p>
    <w:p w14:paraId="614B7A89" w14:textId="77777777" w:rsidR="00BE3A40" w:rsidRDefault="00000000">
      <w:pPr>
        <w:spacing w:after="60"/>
        <w:ind w:left="340" w:hanging="340"/>
      </w:pPr>
      <w:r>
        <w:rPr>
          <w:sz w:val="18"/>
        </w:rPr>
        <w:t>SharkNinja Inc. (2025), Annual Report 2024 (Form 10-K), accessed via SEC EDGAR and Yahoo Finance (NYSE:SN), February 2025.</w:t>
      </w:r>
    </w:p>
    <w:p w14:paraId="27A8D1F5" w14:textId="77777777" w:rsidR="00BE3A40" w:rsidRDefault="00000000">
      <w:pPr>
        <w:spacing w:after="60"/>
        <w:ind w:left="340" w:hanging="340"/>
      </w:pPr>
      <w:r>
        <w:rPr>
          <w:sz w:val="18"/>
        </w:rPr>
        <w:t>StockAnalysis.com (2025), SharkNinja (SN) Balance Sheet, accessed February 2026.</w:t>
      </w:r>
    </w:p>
    <w:p w14:paraId="7E02F046" w14:textId="208E605C" w:rsidR="00D239D2" w:rsidRDefault="00000000" w:rsidP="00D239D2">
      <w:pPr>
        <w:spacing w:after="60"/>
        <w:ind w:left="340" w:hanging="340"/>
        <w:rPr>
          <w:sz w:val="18"/>
        </w:rPr>
      </w:pPr>
      <w:r>
        <w:rPr>
          <w:sz w:val="18"/>
        </w:rPr>
        <w:t>Yahoo Finance (2026), Historical balance sheet and income statement data for De'Longhi (DLG.MI) and SharkNinja (SN), accessed May 2026.</w:t>
      </w:r>
    </w:p>
    <w:p w14:paraId="28A844C8" w14:textId="77777777" w:rsidR="00D239D2" w:rsidRDefault="00D239D2" w:rsidP="00D239D2">
      <w:pPr>
        <w:pStyle w:val="Heading1"/>
      </w:pPr>
      <w:r>
        <w:t>AI Use Disclosure</w:t>
      </w:r>
    </w:p>
    <w:p w14:paraId="5A636EAB" w14:textId="77777777" w:rsidR="00D239D2" w:rsidRDefault="00D239D2" w:rsidP="00D239D2">
      <w:pPr>
        <w:jc w:val="both"/>
      </w:pPr>
      <w:r>
        <w:t xml:space="preserve">Generative AI was used as a research and drafting assistant in the preparation of this report, specifically to help locate figures on industry data and peer financials, to refine grammar and tone within the word limit, and to assist with the construction of tables and supporting charts. All figures and claims have been verified against primary sources (Breville Group FY25 Annual Report and 1H FY26 release, </w:t>
      </w:r>
      <w:proofErr w:type="spellStart"/>
      <w:r>
        <w:t>DatAnalysis</w:t>
      </w:r>
      <w:proofErr w:type="spellEnd"/>
      <w:r>
        <w:t xml:space="preserve"> Premium, SEC filings, Yahoo Finance, lecture materials, and cited academic literature). All analytical judgements, forecast assumptions, scenario design, valuation methodology and final </w:t>
      </w:r>
      <w:proofErr w:type="gramStart"/>
      <w:r>
        <w:t>recommendation</w:t>
      </w:r>
      <w:proofErr w:type="gramEnd"/>
      <w:r>
        <w:t xml:space="preserve"> remain my own, and I take full responsibility for the content of this report.</w:t>
      </w:r>
    </w:p>
    <w:p w14:paraId="08AD4415" w14:textId="339970EF" w:rsidR="00BE3A40" w:rsidRDefault="00BE3A40"/>
    <w:sectPr w:rsidR="00BE3A40" w:rsidSect="00F62E74">
      <w:pgSz w:w="11906" w:h="16838"/>
      <w:pgMar w:top="1134" w:right="1247" w:bottom="2835"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93889363">
    <w:abstractNumId w:val="8"/>
  </w:num>
  <w:num w:numId="2" w16cid:durableId="298070750">
    <w:abstractNumId w:val="6"/>
  </w:num>
  <w:num w:numId="3" w16cid:durableId="904417561">
    <w:abstractNumId w:val="5"/>
  </w:num>
  <w:num w:numId="4" w16cid:durableId="1189104112">
    <w:abstractNumId w:val="4"/>
  </w:num>
  <w:num w:numId="5" w16cid:durableId="549149866">
    <w:abstractNumId w:val="7"/>
  </w:num>
  <w:num w:numId="6" w16cid:durableId="272446293">
    <w:abstractNumId w:val="3"/>
  </w:num>
  <w:num w:numId="7" w16cid:durableId="1515925091">
    <w:abstractNumId w:val="2"/>
  </w:num>
  <w:num w:numId="8" w16cid:durableId="1825312745">
    <w:abstractNumId w:val="1"/>
  </w:num>
  <w:num w:numId="9" w16cid:durableId="1108508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D2CA5"/>
    <w:rsid w:val="00326F90"/>
    <w:rsid w:val="00904714"/>
    <w:rsid w:val="00AA1D8D"/>
    <w:rsid w:val="00B47730"/>
    <w:rsid w:val="00BE3A40"/>
    <w:rsid w:val="00CB0664"/>
    <w:rsid w:val="00D239D2"/>
    <w:rsid w:val="00F62E7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F9C333"/>
  <w14:defaultImageDpi w14:val="300"/>
  <w15:docId w15:val="{FEDE21A8-23F0-4783-A75F-6206B72C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Arial" w:hAnsi="Arial"/>
    </w:rPr>
  </w:style>
  <w:style w:type="paragraph" w:styleId="Heading1">
    <w:name w:val="heading 1"/>
    <w:basedOn w:val="Normal"/>
    <w:next w:val="Normal"/>
    <w:link w:val="Heading1Char"/>
    <w:uiPriority w:val="9"/>
    <w:qFormat/>
    <w:rsid w:val="00FC693F"/>
    <w:pPr>
      <w:keepNext/>
      <w:keepLines/>
      <w:spacing w:before="200" w:after="80"/>
      <w:outlineLvl w:val="0"/>
    </w:pPr>
    <w:rPr>
      <w:rFonts w:asciiTheme="majorHAnsi" w:eastAsiaTheme="majorEastAsia" w:hAnsiTheme="majorHAnsi" w:cstheme="majorBid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80"/>
      <w:outlineLvl w:val="1"/>
    </w:pPr>
    <w:rPr>
      <w:rFonts w:asciiTheme="majorHAnsi" w:eastAsiaTheme="majorEastAsia" w:hAnsiTheme="majorHAnsi" w:cstheme="majorBidi"/>
      <w:b/>
      <w:bCs/>
      <w:color w:val="003366"/>
      <w:sz w:val="26"/>
      <w:szCs w:val="26"/>
    </w:rPr>
  </w:style>
  <w:style w:type="paragraph" w:styleId="Heading3">
    <w:name w:val="heading 3"/>
    <w:basedOn w:val="Normal"/>
    <w:next w:val="Normal"/>
    <w:link w:val="Heading3Char"/>
    <w:uiPriority w:val="9"/>
    <w:unhideWhenUsed/>
    <w:qFormat/>
    <w:rsid w:val="00FC693F"/>
    <w:pPr>
      <w:keepNext/>
      <w:keepLines/>
      <w:spacing w:before="200" w:after="80"/>
      <w:outlineLvl w:val="2"/>
    </w:pPr>
    <w:rPr>
      <w:rFonts w:asciiTheme="majorHAnsi" w:eastAsiaTheme="majorEastAsia" w:hAnsiTheme="majorHAnsi" w:cstheme="majorBidi"/>
      <w:b/>
      <w:bCs/>
      <w:color w:val="00336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4650</Words>
  <Characters>26505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Hank Do</cp:lastModifiedBy>
  <cp:revision>2</cp:revision>
  <dcterms:created xsi:type="dcterms:W3CDTF">2026-05-31T10:37:00Z</dcterms:created>
  <dcterms:modified xsi:type="dcterms:W3CDTF">2026-05-31T10:37:00Z</dcterms:modified>
  <cp:category/>
</cp:coreProperties>
</file>